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22DE" w14:textId="1739E398" w:rsidR="00E73964" w:rsidRDefault="00E73964" w:rsidP="00E7396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957F5">
        <w:rPr>
          <w:rFonts w:ascii="Times New Roman" w:hAnsi="Times New Roman" w:cs="Times New Roman"/>
          <w:b/>
          <w:sz w:val="24"/>
        </w:rPr>
        <w:t>TEMATYKA</w:t>
      </w:r>
      <w:r>
        <w:rPr>
          <w:rFonts w:ascii="Times New Roman" w:hAnsi="Times New Roman" w:cs="Times New Roman"/>
          <w:b/>
          <w:sz w:val="24"/>
        </w:rPr>
        <w:t xml:space="preserve"> ĆWICZEŃ</w:t>
      </w:r>
      <w:r w:rsidRPr="004957F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- </w:t>
      </w:r>
      <w:r w:rsidRPr="004957F5">
        <w:rPr>
          <w:rFonts w:ascii="Times New Roman" w:hAnsi="Times New Roman" w:cs="Times New Roman"/>
          <w:b/>
          <w:sz w:val="24"/>
        </w:rPr>
        <w:t xml:space="preserve">PATOLOGIA </w:t>
      </w:r>
      <w:r>
        <w:rPr>
          <w:rFonts w:ascii="Times New Roman" w:hAnsi="Times New Roman" w:cs="Times New Roman"/>
          <w:b/>
          <w:sz w:val="24"/>
        </w:rPr>
        <w:t>OGÓLNA</w:t>
      </w:r>
    </w:p>
    <w:p w14:paraId="3DF59C4E" w14:textId="1F6F31A9" w:rsidR="00E73964" w:rsidRDefault="00E73964" w:rsidP="00E7396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ROK AKADEMICKI 202</w:t>
      </w:r>
      <w:r w:rsidR="002D7C91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-202</w:t>
      </w:r>
      <w:r w:rsidR="002D7C91">
        <w:rPr>
          <w:rFonts w:ascii="Times New Roman" w:hAnsi="Times New Roman" w:cs="Times New Roman"/>
          <w:b/>
          <w:sz w:val="24"/>
        </w:rPr>
        <w:t>3</w:t>
      </w:r>
    </w:p>
    <w:p w14:paraId="111A0C60" w14:textId="77777777" w:rsidR="00E73964" w:rsidRDefault="00E73964" w:rsidP="00E7396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5142EF31" w14:textId="68C39ACB" w:rsidR="002003DE" w:rsidRPr="00E73964" w:rsidRDefault="00C97D00" w:rsidP="005318E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64">
        <w:rPr>
          <w:rFonts w:ascii="Times New Roman" w:hAnsi="Times New Roman" w:cs="Times New Roman"/>
          <w:b/>
          <w:sz w:val="24"/>
          <w:szCs w:val="24"/>
        </w:rPr>
        <w:t xml:space="preserve">POŁOŻNICTWO </w:t>
      </w:r>
    </w:p>
    <w:p w14:paraId="0FDEFCDA" w14:textId="77777777" w:rsidR="00D01ED4" w:rsidRPr="00CA4AA5" w:rsidRDefault="00D01ED4" w:rsidP="005318E0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14:paraId="7896E6B2" w14:textId="4EEB60B8" w:rsidR="00184BFA" w:rsidRPr="00CA4AA5" w:rsidRDefault="000A02CF" w:rsidP="005318E0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CA4AA5">
        <w:rPr>
          <w:rFonts w:ascii="Times New Roman" w:hAnsi="Times New Roman" w:cs="Times New Roman"/>
          <w:b/>
          <w:u w:val="single"/>
        </w:rPr>
        <w:t>ĆWICZENIE NR 1</w:t>
      </w:r>
      <w:r w:rsidR="00E33D52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F16D76" w:rsidRPr="00CA4AA5">
        <w:rPr>
          <w:rFonts w:ascii="Times New Roman" w:hAnsi="Times New Roman" w:cs="Times New Roman"/>
          <w:b/>
          <w:u w:val="single"/>
        </w:rPr>
        <w:t>–</w:t>
      </w:r>
      <w:r w:rsidR="00C97D00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2D7C91">
        <w:rPr>
          <w:rFonts w:ascii="Times New Roman" w:hAnsi="Times New Roman" w:cs="Times New Roman"/>
          <w:b/>
          <w:u w:val="single"/>
        </w:rPr>
        <w:t>3</w:t>
      </w:r>
      <w:r w:rsidR="00F16D76" w:rsidRPr="00CA4AA5">
        <w:rPr>
          <w:rFonts w:ascii="Times New Roman" w:hAnsi="Times New Roman" w:cs="Times New Roman"/>
          <w:b/>
          <w:u w:val="single"/>
        </w:rPr>
        <w:t>-</w:t>
      </w:r>
      <w:r w:rsidR="002D7C91">
        <w:rPr>
          <w:rFonts w:ascii="Times New Roman" w:hAnsi="Times New Roman" w:cs="Times New Roman"/>
          <w:b/>
          <w:u w:val="single"/>
        </w:rPr>
        <w:t>4</w:t>
      </w:r>
      <w:r w:rsidR="00C97D00" w:rsidRPr="00CA4AA5">
        <w:rPr>
          <w:rFonts w:ascii="Times New Roman" w:hAnsi="Times New Roman" w:cs="Times New Roman"/>
          <w:b/>
          <w:u w:val="single"/>
        </w:rPr>
        <w:t>.</w:t>
      </w:r>
      <w:r w:rsidR="007A42C8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C97D00" w:rsidRPr="00CA4AA5">
        <w:rPr>
          <w:rFonts w:ascii="Times New Roman" w:hAnsi="Times New Roman" w:cs="Times New Roman"/>
          <w:b/>
          <w:u w:val="single"/>
        </w:rPr>
        <w:t>X.</w:t>
      </w:r>
      <w:r w:rsidR="007A42C8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C97D00" w:rsidRPr="00CA4AA5">
        <w:rPr>
          <w:rFonts w:ascii="Times New Roman" w:hAnsi="Times New Roman" w:cs="Times New Roman"/>
          <w:b/>
          <w:u w:val="single"/>
        </w:rPr>
        <w:t>20</w:t>
      </w:r>
      <w:r w:rsidR="001A0B94" w:rsidRPr="00CA4AA5">
        <w:rPr>
          <w:rFonts w:ascii="Times New Roman" w:hAnsi="Times New Roman" w:cs="Times New Roman"/>
          <w:b/>
          <w:u w:val="single"/>
        </w:rPr>
        <w:t>2</w:t>
      </w:r>
      <w:r w:rsidR="002D7C91">
        <w:rPr>
          <w:rFonts w:ascii="Times New Roman" w:hAnsi="Times New Roman" w:cs="Times New Roman"/>
          <w:b/>
          <w:u w:val="single"/>
        </w:rPr>
        <w:t>2</w:t>
      </w:r>
    </w:p>
    <w:p w14:paraId="048A3F61" w14:textId="77777777" w:rsidR="008A5E97" w:rsidRPr="00CA4AA5" w:rsidRDefault="008A5E97" w:rsidP="005318E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bookmarkStart w:id="0" w:name="_Hlk83366573"/>
      <w:bookmarkStart w:id="1" w:name="_Hlk83368536"/>
      <w:r w:rsidRPr="00CA4AA5">
        <w:rPr>
          <w:rFonts w:ascii="Times New Roman" w:hAnsi="Times New Roman" w:cs="Times New Roman"/>
          <w:b/>
        </w:rPr>
        <w:t>Wprowadzenie do patofizjologii</w:t>
      </w:r>
    </w:p>
    <w:p w14:paraId="46AE1E37" w14:textId="77777777" w:rsidR="008A5E97" w:rsidRPr="00CA4AA5" w:rsidRDefault="008A5E97" w:rsidP="005318E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Pojęcia: zdrowie, choroba, etiologia, patogeneza, etiopatogeneza</w:t>
      </w:r>
    </w:p>
    <w:p w14:paraId="20CA03BE" w14:textId="50720FFE" w:rsidR="008A5E97" w:rsidRPr="00CA4AA5" w:rsidRDefault="008A5E97" w:rsidP="005318E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Etapy i symptomatologia chorób (objawy podmiotowe i przedmiotowe, symptom a syndrom, objaw patognomoniczny)</w:t>
      </w:r>
    </w:p>
    <w:p w14:paraId="00FE48C0" w14:textId="77777777" w:rsidR="008A5E97" w:rsidRPr="00CA4AA5" w:rsidRDefault="008A5E97" w:rsidP="005318E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Choroba wrodzona, a genetyczna (dziedziczna), choroba idiopatyczna, choroba jatrogenna</w:t>
      </w:r>
    </w:p>
    <w:p w14:paraId="20720AB3" w14:textId="2829C777" w:rsidR="005318E0" w:rsidRPr="00CA4AA5" w:rsidRDefault="008A5E97" w:rsidP="005318E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Czynniki chorobotwórcze i czynniki ryzyka</w:t>
      </w:r>
    </w:p>
    <w:bookmarkEnd w:id="0"/>
    <w:p w14:paraId="093E86C3" w14:textId="77777777" w:rsidR="008A5E97" w:rsidRPr="00CA4AA5" w:rsidRDefault="008A5E97" w:rsidP="005318E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A4AA5">
        <w:rPr>
          <w:rFonts w:ascii="Times New Roman" w:hAnsi="Times New Roman" w:cs="Times New Roman"/>
          <w:b/>
        </w:rPr>
        <w:t>Zapalenie</w:t>
      </w:r>
    </w:p>
    <w:p w14:paraId="3EC49A3E" w14:textId="77777777" w:rsidR="008A5E97" w:rsidRPr="00CA4AA5" w:rsidRDefault="008A5E97" w:rsidP="005318E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Definicja zapalenia i czynniki zapalne</w:t>
      </w:r>
    </w:p>
    <w:p w14:paraId="175E073B" w14:textId="309A2EDD" w:rsidR="008A5E97" w:rsidRPr="00CA4AA5" w:rsidRDefault="008A5E97" w:rsidP="005318E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 xml:space="preserve">Mechanizm zapalenia: zmiany naczyniowe, odpowiedź </w:t>
      </w:r>
      <w:proofErr w:type="spellStart"/>
      <w:r w:rsidRPr="00CA4AA5">
        <w:rPr>
          <w:rFonts w:ascii="Times New Roman" w:hAnsi="Times New Roman" w:cs="Times New Roman"/>
        </w:rPr>
        <w:t>białokrwinkowa</w:t>
      </w:r>
      <w:proofErr w:type="spellEnd"/>
      <w:r w:rsidRPr="00CA4AA5">
        <w:rPr>
          <w:rFonts w:ascii="Times New Roman" w:hAnsi="Times New Roman" w:cs="Times New Roman"/>
        </w:rPr>
        <w:t xml:space="preserve"> </w:t>
      </w:r>
      <w:r w:rsidR="00760561">
        <w:rPr>
          <w:rFonts w:ascii="Times New Roman" w:hAnsi="Times New Roman"/>
        </w:rPr>
        <w:t xml:space="preserve">(charakterystyka granulocytów i monocytów, etapy odpowiedzi, rola </w:t>
      </w:r>
      <w:proofErr w:type="spellStart"/>
      <w:r w:rsidR="00760561">
        <w:rPr>
          <w:rFonts w:ascii="Times New Roman" w:hAnsi="Times New Roman"/>
        </w:rPr>
        <w:t>selektyn</w:t>
      </w:r>
      <w:proofErr w:type="spellEnd"/>
      <w:r w:rsidR="00760561">
        <w:rPr>
          <w:rFonts w:ascii="Times New Roman" w:hAnsi="Times New Roman"/>
        </w:rPr>
        <w:t xml:space="preserve"> i </w:t>
      </w:r>
      <w:proofErr w:type="spellStart"/>
      <w:r w:rsidR="00760561">
        <w:rPr>
          <w:rFonts w:ascii="Times New Roman" w:hAnsi="Times New Roman"/>
        </w:rPr>
        <w:t>integryn</w:t>
      </w:r>
      <w:proofErr w:type="spellEnd"/>
      <w:r w:rsidR="00760561">
        <w:rPr>
          <w:rFonts w:ascii="Times New Roman" w:hAnsi="Times New Roman"/>
        </w:rPr>
        <w:t xml:space="preserve">, udział wolnych rodników tlenowych) </w:t>
      </w:r>
      <w:r w:rsidRPr="00CA4AA5">
        <w:rPr>
          <w:rFonts w:ascii="Times New Roman" w:hAnsi="Times New Roman" w:cs="Times New Roman"/>
        </w:rPr>
        <w:t xml:space="preserve">oraz mediatory zapalenia </w:t>
      </w:r>
      <w:bookmarkStart w:id="2" w:name="_Hlk83366614"/>
      <w:r w:rsidRPr="00CA4AA5">
        <w:rPr>
          <w:rFonts w:ascii="Times New Roman" w:hAnsi="Times New Roman" w:cs="Times New Roman"/>
        </w:rPr>
        <w:t xml:space="preserve">(cytokiny pro- i przeciwzapalne, </w:t>
      </w:r>
      <w:proofErr w:type="spellStart"/>
      <w:r w:rsidRPr="00CA4AA5">
        <w:rPr>
          <w:rFonts w:ascii="Times New Roman" w:hAnsi="Times New Roman" w:cs="Times New Roman"/>
        </w:rPr>
        <w:t>chemokiny</w:t>
      </w:r>
      <w:proofErr w:type="spellEnd"/>
      <w:r w:rsidRPr="00CA4AA5">
        <w:rPr>
          <w:rFonts w:ascii="Times New Roman" w:hAnsi="Times New Roman" w:cs="Times New Roman"/>
        </w:rPr>
        <w:t xml:space="preserve">, pochodne kwasu arachidonowego – PG, LT, TX, aminy – histamina, serotonina, kininy – </w:t>
      </w:r>
      <w:proofErr w:type="spellStart"/>
      <w:r w:rsidRPr="00CA4AA5">
        <w:rPr>
          <w:rFonts w:ascii="Times New Roman" w:hAnsi="Times New Roman" w:cs="Times New Roman"/>
        </w:rPr>
        <w:t>bradykinina</w:t>
      </w:r>
      <w:proofErr w:type="spellEnd"/>
      <w:r w:rsidRPr="00CA4AA5">
        <w:rPr>
          <w:rFonts w:ascii="Times New Roman" w:hAnsi="Times New Roman" w:cs="Times New Roman"/>
        </w:rPr>
        <w:t>, układ dopełniacza)</w:t>
      </w:r>
    </w:p>
    <w:p w14:paraId="0D481996" w14:textId="0862AA56" w:rsidR="008A5E97" w:rsidRPr="00CA4AA5" w:rsidRDefault="008A5E97" w:rsidP="005318E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Podział zapaleń</w:t>
      </w:r>
      <w:r w:rsidR="004D6866">
        <w:rPr>
          <w:rFonts w:ascii="Times New Roman" w:hAnsi="Times New Roman" w:cs="Times New Roman"/>
        </w:rPr>
        <w:t xml:space="preserve"> </w:t>
      </w:r>
      <w:r w:rsidR="004D6866">
        <w:rPr>
          <w:rFonts w:ascii="Times New Roman" w:hAnsi="Times New Roman"/>
        </w:rPr>
        <w:t>(cechy)</w:t>
      </w:r>
      <w:r w:rsidRPr="00CA4AA5">
        <w:rPr>
          <w:rFonts w:ascii="Times New Roman" w:hAnsi="Times New Roman" w:cs="Times New Roman"/>
        </w:rPr>
        <w:t>, objawy miejscowe i ogólnoustrojowe</w:t>
      </w:r>
    </w:p>
    <w:bookmarkEnd w:id="1"/>
    <w:bookmarkEnd w:id="2"/>
    <w:p w14:paraId="3DE8C2B5" w14:textId="77777777" w:rsidR="000A02CF" w:rsidRPr="00CA4AA5" w:rsidRDefault="000A02CF" w:rsidP="005318E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3DC85CD8" w14:textId="562CA2E4" w:rsidR="007364E8" w:rsidRPr="00CA4AA5" w:rsidRDefault="000A02CF" w:rsidP="007364E8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CA4AA5">
        <w:rPr>
          <w:rFonts w:ascii="Times New Roman" w:hAnsi="Times New Roman" w:cs="Times New Roman"/>
          <w:b/>
          <w:u w:val="single"/>
        </w:rPr>
        <w:t>ĆWICZENIE NR 2</w:t>
      </w:r>
      <w:r w:rsidR="00E33D52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F16D76" w:rsidRPr="00CA4AA5">
        <w:rPr>
          <w:rFonts w:ascii="Times New Roman" w:hAnsi="Times New Roman" w:cs="Times New Roman"/>
          <w:b/>
          <w:u w:val="single"/>
        </w:rPr>
        <w:t>–</w:t>
      </w:r>
      <w:r w:rsidR="002C135D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F16D76" w:rsidRPr="00CA4AA5">
        <w:rPr>
          <w:rFonts w:ascii="Times New Roman" w:hAnsi="Times New Roman" w:cs="Times New Roman"/>
          <w:b/>
          <w:u w:val="single"/>
        </w:rPr>
        <w:t>1</w:t>
      </w:r>
      <w:r w:rsidR="002D7C91">
        <w:rPr>
          <w:rFonts w:ascii="Times New Roman" w:hAnsi="Times New Roman" w:cs="Times New Roman"/>
          <w:b/>
          <w:u w:val="single"/>
        </w:rPr>
        <w:t>0</w:t>
      </w:r>
      <w:r w:rsidR="00F16D76" w:rsidRPr="00CA4AA5">
        <w:rPr>
          <w:rFonts w:ascii="Times New Roman" w:hAnsi="Times New Roman" w:cs="Times New Roman"/>
          <w:b/>
          <w:u w:val="single"/>
        </w:rPr>
        <w:t>-</w:t>
      </w:r>
      <w:r w:rsidR="00C97D00" w:rsidRPr="00CA4AA5">
        <w:rPr>
          <w:rFonts w:ascii="Times New Roman" w:hAnsi="Times New Roman" w:cs="Times New Roman"/>
          <w:b/>
          <w:u w:val="single"/>
        </w:rPr>
        <w:t>1</w:t>
      </w:r>
      <w:r w:rsidR="002D7C91">
        <w:rPr>
          <w:rFonts w:ascii="Times New Roman" w:hAnsi="Times New Roman" w:cs="Times New Roman"/>
          <w:b/>
          <w:u w:val="single"/>
        </w:rPr>
        <w:t>1</w:t>
      </w:r>
      <w:r w:rsidR="00C97D00" w:rsidRPr="00CA4AA5">
        <w:rPr>
          <w:rFonts w:ascii="Times New Roman" w:hAnsi="Times New Roman" w:cs="Times New Roman"/>
          <w:b/>
          <w:u w:val="single"/>
        </w:rPr>
        <w:t>.</w:t>
      </w:r>
      <w:r w:rsidR="007A42C8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C97D00" w:rsidRPr="00CA4AA5">
        <w:rPr>
          <w:rFonts w:ascii="Times New Roman" w:hAnsi="Times New Roman" w:cs="Times New Roman"/>
          <w:b/>
          <w:u w:val="single"/>
        </w:rPr>
        <w:t>X.</w:t>
      </w:r>
      <w:r w:rsidR="007A42C8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2D7C91">
        <w:rPr>
          <w:rFonts w:ascii="Times New Roman" w:hAnsi="Times New Roman" w:cs="Times New Roman"/>
          <w:b/>
          <w:u w:val="single"/>
        </w:rPr>
        <w:t>2022</w:t>
      </w:r>
    </w:p>
    <w:p w14:paraId="4A9EA941" w14:textId="77777777" w:rsidR="007364E8" w:rsidRPr="00CA4AA5" w:rsidRDefault="007364E8" w:rsidP="007364E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4AA5">
        <w:rPr>
          <w:rFonts w:ascii="Times New Roman" w:hAnsi="Times New Roman" w:cs="Times New Roman"/>
          <w:b/>
        </w:rPr>
        <w:t xml:space="preserve">Zaburzenia przemian aminokwasów: </w:t>
      </w:r>
      <w:proofErr w:type="spellStart"/>
      <w:r w:rsidRPr="00CA4AA5">
        <w:rPr>
          <w:rFonts w:ascii="Times New Roman" w:hAnsi="Times New Roman" w:cs="Times New Roman"/>
        </w:rPr>
        <w:t>fenyloketonuria</w:t>
      </w:r>
      <w:proofErr w:type="spellEnd"/>
      <w:r w:rsidRPr="00CA4AA5">
        <w:rPr>
          <w:rFonts w:ascii="Times New Roman" w:hAnsi="Times New Roman" w:cs="Times New Roman"/>
        </w:rPr>
        <w:t>, alkaptonuria, albinizm</w:t>
      </w:r>
    </w:p>
    <w:p w14:paraId="43CFF3D6" w14:textId="77777777" w:rsidR="007364E8" w:rsidRPr="00CA4AA5" w:rsidRDefault="007364E8" w:rsidP="007364E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A4AA5">
        <w:rPr>
          <w:rFonts w:ascii="Times New Roman" w:hAnsi="Times New Roman" w:cs="Times New Roman"/>
          <w:b/>
        </w:rPr>
        <w:t>Zaburzenia przemiany tłuszczów - miażdżyca:</w:t>
      </w:r>
    </w:p>
    <w:p w14:paraId="1BCA2EB0" w14:textId="77777777" w:rsidR="007364E8" w:rsidRPr="00CA4AA5" w:rsidRDefault="007364E8" w:rsidP="007364E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 xml:space="preserve">Metabolizm cholesterolu, budowa i funkcje </w:t>
      </w:r>
      <w:proofErr w:type="spellStart"/>
      <w:r w:rsidRPr="00CA4AA5">
        <w:rPr>
          <w:rFonts w:ascii="Times New Roman" w:hAnsi="Times New Roman" w:cs="Times New Roman"/>
        </w:rPr>
        <w:t>lipoprotein</w:t>
      </w:r>
      <w:proofErr w:type="spellEnd"/>
      <w:r w:rsidRPr="00CA4AA5">
        <w:rPr>
          <w:rFonts w:ascii="Times New Roman" w:hAnsi="Times New Roman" w:cs="Times New Roman"/>
        </w:rPr>
        <w:t xml:space="preserve"> VLDL, LDL i HDL</w:t>
      </w:r>
    </w:p>
    <w:p w14:paraId="366DD687" w14:textId="77777777" w:rsidR="007364E8" w:rsidRPr="00CA4AA5" w:rsidRDefault="007364E8" w:rsidP="007364E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 xml:space="preserve">Badania określające gospodarkę lipidową organizmu </w:t>
      </w:r>
    </w:p>
    <w:p w14:paraId="2ECBC28D" w14:textId="77777777" w:rsidR="007364E8" w:rsidRPr="00CA4AA5" w:rsidRDefault="007364E8" w:rsidP="007364E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 xml:space="preserve">Miażdżyca: przyczyny, czynniki ryzyka, patomechanizm i etapy powstawania blaszki miażdżycowej, rodzaje blaszek miażdżycowych (ekscentryczne i koncentryczne, stabilne </w:t>
      </w:r>
      <w:r>
        <w:rPr>
          <w:rFonts w:ascii="Times New Roman" w:hAnsi="Times New Roman" w:cs="Times New Roman"/>
        </w:rPr>
        <w:t xml:space="preserve">                               </w:t>
      </w:r>
      <w:r w:rsidRPr="00CA4AA5">
        <w:rPr>
          <w:rFonts w:ascii="Times New Roman" w:hAnsi="Times New Roman" w:cs="Times New Roman"/>
        </w:rPr>
        <w:t>i niestabilne), objawy i następstwa miażdżycy</w:t>
      </w:r>
    </w:p>
    <w:p w14:paraId="59F355F7" w14:textId="77777777" w:rsidR="007364E8" w:rsidRPr="00CA4AA5" w:rsidRDefault="007364E8" w:rsidP="007364E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  <w:b/>
        </w:rPr>
        <w:t>Zaburzenia przemiany węglowodanów</w:t>
      </w:r>
      <w:r w:rsidRPr="00CA4AA5">
        <w:rPr>
          <w:rFonts w:ascii="Times New Roman" w:hAnsi="Times New Roman" w:cs="Times New Roman"/>
        </w:rPr>
        <w:t xml:space="preserve"> – </w:t>
      </w:r>
      <w:r w:rsidRPr="00CA4AA5">
        <w:rPr>
          <w:rFonts w:ascii="Times New Roman" w:hAnsi="Times New Roman" w:cs="Times New Roman"/>
          <w:b/>
          <w:bCs/>
        </w:rPr>
        <w:t>cukrzyca</w:t>
      </w:r>
      <w:r w:rsidRPr="00CA4AA5">
        <w:rPr>
          <w:rFonts w:ascii="Times New Roman" w:hAnsi="Times New Roman" w:cs="Times New Roman"/>
        </w:rPr>
        <w:t>:</w:t>
      </w:r>
    </w:p>
    <w:p w14:paraId="6735CE27" w14:textId="77777777" w:rsidR="007364E8" w:rsidRPr="00CA4AA5" w:rsidRDefault="007364E8" w:rsidP="007364E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bookmarkStart w:id="3" w:name="_Hlk83373238"/>
      <w:r w:rsidRPr="00CA4AA5">
        <w:rPr>
          <w:rFonts w:ascii="Times New Roman" w:hAnsi="Times New Roman" w:cs="Times New Roman"/>
          <w:u w:val="single"/>
        </w:rPr>
        <w:t>Regulacja gospodarki węglowodanowej – insulina – przypomnienie wiadomości z fizjologii</w:t>
      </w:r>
    </w:p>
    <w:p w14:paraId="16329DD0" w14:textId="77777777" w:rsidR="007364E8" w:rsidRPr="00CA4AA5" w:rsidRDefault="007364E8" w:rsidP="007364E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Kryteria diagnostyczne cukrzycy</w:t>
      </w:r>
    </w:p>
    <w:p w14:paraId="2EDD00C4" w14:textId="4C28BEF1" w:rsidR="007364E8" w:rsidRPr="00CA4AA5" w:rsidRDefault="007364E8" w:rsidP="007364E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Pojęcie, przyczyny, rodzaje cukrzycy (typ 1, typ 2, LADA, MODY, ciążowa, noworodkowa)</w:t>
      </w:r>
      <w:r w:rsidR="00B106B1">
        <w:rPr>
          <w:rFonts w:ascii="Times New Roman" w:hAnsi="Times New Roman" w:cs="Times New Roman"/>
        </w:rPr>
        <w:t xml:space="preserve">                       </w:t>
      </w:r>
      <w:r w:rsidRPr="00CA4AA5">
        <w:rPr>
          <w:rFonts w:ascii="Times New Roman" w:hAnsi="Times New Roman" w:cs="Times New Roman"/>
        </w:rPr>
        <w:t xml:space="preserve"> i objawy</w:t>
      </w:r>
    </w:p>
    <w:p w14:paraId="6F732EA0" w14:textId="77777777" w:rsidR="007364E8" w:rsidRPr="00CA4AA5" w:rsidRDefault="007364E8" w:rsidP="007364E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 xml:space="preserve">Definicja </w:t>
      </w:r>
      <w:proofErr w:type="spellStart"/>
      <w:r w:rsidRPr="00CA4AA5">
        <w:rPr>
          <w:rFonts w:ascii="Times New Roman" w:hAnsi="Times New Roman" w:cs="Times New Roman"/>
        </w:rPr>
        <w:t>insulinooporności</w:t>
      </w:r>
      <w:proofErr w:type="spellEnd"/>
      <w:r w:rsidRPr="00CA4AA5">
        <w:rPr>
          <w:rFonts w:ascii="Times New Roman" w:hAnsi="Times New Roman" w:cs="Times New Roman"/>
        </w:rPr>
        <w:t xml:space="preserve"> i jej rodzaje (</w:t>
      </w:r>
      <w:proofErr w:type="spellStart"/>
      <w:r w:rsidRPr="00CA4AA5">
        <w:rPr>
          <w:rFonts w:ascii="Times New Roman" w:hAnsi="Times New Roman" w:cs="Times New Roman"/>
        </w:rPr>
        <w:t>przedreceptorowa</w:t>
      </w:r>
      <w:proofErr w:type="spellEnd"/>
      <w:r w:rsidRPr="00CA4AA5">
        <w:rPr>
          <w:rFonts w:ascii="Times New Roman" w:hAnsi="Times New Roman" w:cs="Times New Roman"/>
        </w:rPr>
        <w:t xml:space="preserve">, receptorowa, </w:t>
      </w:r>
      <w:proofErr w:type="spellStart"/>
      <w:r w:rsidRPr="00CA4AA5">
        <w:rPr>
          <w:rFonts w:ascii="Times New Roman" w:hAnsi="Times New Roman" w:cs="Times New Roman"/>
        </w:rPr>
        <w:t>postreceptorowa</w:t>
      </w:r>
      <w:proofErr w:type="spellEnd"/>
      <w:r w:rsidRPr="00CA4AA5">
        <w:rPr>
          <w:rFonts w:ascii="Times New Roman" w:hAnsi="Times New Roman" w:cs="Times New Roman"/>
        </w:rPr>
        <w:t>; związek pomiędzy otyłością a </w:t>
      </w:r>
      <w:proofErr w:type="spellStart"/>
      <w:r w:rsidRPr="00CA4AA5">
        <w:rPr>
          <w:rFonts w:ascii="Times New Roman" w:hAnsi="Times New Roman" w:cs="Times New Roman"/>
        </w:rPr>
        <w:t>insulinoopornością</w:t>
      </w:r>
      <w:proofErr w:type="spellEnd"/>
      <w:r w:rsidRPr="00CA4AA5">
        <w:rPr>
          <w:rFonts w:ascii="Times New Roman" w:hAnsi="Times New Roman" w:cs="Times New Roman"/>
        </w:rPr>
        <w:t>)</w:t>
      </w:r>
    </w:p>
    <w:p w14:paraId="30D09EA5" w14:textId="77777777" w:rsidR="007364E8" w:rsidRPr="00CA4AA5" w:rsidRDefault="007364E8" w:rsidP="007364E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Ostre powikłania cukrzycy – kwasica ketonowa</w:t>
      </w:r>
    </w:p>
    <w:p w14:paraId="38BD5DF6" w14:textId="0F1C430F" w:rsidR="0004333E" w:rsidRDefault="007364E8" w:rsidP="004A575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 xml:space="preserve">Przewlekłe powikłania cukrzycy: mikro i </w:t>
      </w:r>
      <w:proofErr w:type="spellStart"/>
      <w:r w:rsidRPr="00CA4AA5">
        <w:rPr>
          <w:rFonts w:ascii="Times New Roman" w:hAnsi="Times New Roman" w:cs="Times New Roman"/>
        </w:rPr>
        <w:t>makroangiopatie</w:t>
      </w:r>
      <w:proofErr w:type="spellEnd"/>
      <w:r w:rsidRPr="00CA4AA5">
        <w:rPr>
          <w:rFonts w:ascii="Times New Roman" w:hAnsi="Times New Roman" w:cs="Times New Roman"/>
        </w:rPr>
        <w:t>, pojęcie neuropatii cukrzycowych i stopy cukrzycowej</w:t>
      </w:r>
      <w:bookmarkEnd w:id="3"/>
    </w:p>
    <w:p w14:paraId="4A455DA1" w14:textId="77777777" w:rsidR="004A5753" w:rsidRPr="004A5753" w:rsidRDefault="004A5753" w:rsidP="004A5753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1C0F90A5" w14:textId="21529BA9" w:rsidR="006F6E69" w:rsidRDefault="000A02CF" w:rsidP="005318E0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A4AA5">
        <w:rPr>
          <w:rFonts w:ascii="Times New Roman" w:hAnsi="Times New Roman" w:cs="Times New Roman"/>
          <w:b/>
          <w:u w:val="single"/>
        </w:rPr>
        <w:t>ĆWICZENIE NR 3</w:t>
      </w:r>
      <w:r w:rsidR="00E33D52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F16D76" w:rsidRPr="00CA4AA5">
        <w:rPr>
          <w:rFonts w:ascii="Times New Roman" w:hAnsi="Times New Roman" w:cs="Times New Roman"/>
          <w:b/>
          <w:u w:val="single"/>
        </w:rPr>
        <w:t>–</w:t>
      </w:r>
      <w:r w:rsidR="00C97D00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2D7C91">
        <w:rPr>
          <w:rFonts w:ascii="Times New Roman" w:hAnsi="Times New Roman" w:cs="Times New Roman"/>
          <w:b/>
          <w:u w:val="single"/>
        </w:rPr>
        <w:t>17-18</w:t>
      </w:r>
      <w:r w:rsidR="00C97D00" w:rsidRPr="00CA4AA5">
        <w:rPr>
          <w:rFonts w:ascii="Times New Roman" w:hAnsi="Times New Roman" w:cs="Times New Roman"/>
          <w:b/>
          <w:u w:val="single"/>
        </w:rPr>
        <w:t>.</w:t>
      </w:r>
      <w:r w:rsidR="007A42C8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C97D00" w:rsidRPr="00CA4AA5">
        <w:rPr>
          <w:rFonts w:ascii="Times New Roman" w:hAnsi="Times New Roman" w:cs="Times New Roman"/>
          <w:b/>
          <w:u w:val="single"/>
        </w:rPr>
        <w:t>X.</w:t>
      </w:r>
      <w:r w:rsidR="007A42C8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2D7C91">
        <w:rPr>
          <w:rFonts w:ascii="Times New Roman" w:hAnsi="Times New Roman" w:cs="Times New Roman"/>
          <w:b/>
          <w:u w:val="single"/>
        </w:rPr>
        <w:t>2022</w:t>
      </w:r>
    </w:p>
    <w:p w14:paraId="42D73884" w14:textId="77777777" w:rsidR="007364E8" w:rsidRPr="00CA4AA5" w:rsidRDefault="007364E8" w:rsidP="007364E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CA4AA5">
        <w:rPr>
          <w:rFonts w:ascii="Times New Roman" w:hAnsi="Times New Roman" w:cs="Times New Roman"/>
          <w:b/>
          <w:bCs/>
        </w:rPr>
        <w:t>Przypomnienie wiadomości z fizjologii:</w:t>
      </w:r>
    </w:p>
    <w:p w14:paraId="559FFBBD" w14:textId="77777777" w:rsidR="007364E8" w:rsidRPr="004A5753" w:rsidRDefault="007364E8" w:rsidP="007364E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4A5753">
        <w:rPr>
          <w:rFonts w:ascii="Times New Roman" w:hAnsi="Times New Roman" w:cs="Times New Roman"/>
          <w:u w:val="single"/>
        </w:rPr>
        <w:t>Powstawanie i przewodzenie impulsów elektrycznych w sercu – układ bodźcotwórczy                                             i przewodzący serca</w:t>
      </w:r>
    </w:p>
    <w:p w14:paraId="75896F0D" w14:textId="77777777" w:rsidR="007364E8" w:rsidRPr="004A5753" w:rsidRDefault="007364E8" w:rsidP="007364E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4A5753">
        <w:rPr>
          <w:rFonts w:ascii="Times New Roman" w:hAnsi="Times New Roman" w:cs="Times New Roman"/>
          <w:u w:val="single"/>
        </w:rPr>
        <w:t xml:space="preserve">Elektrokardiografia – odprowadzenia, prawidłowy zapis </w:t>
      </w:r>
    </w:p>
    <w:p w14:paraId="34764D6B" w14:textId="77777777" w:rsidR="007364E8" w:rsidRPr="00CA4AA5" w:rsidRDefault="007364E8" w:rsidP="007364E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4" w:name="_Hlk83379279"/>
      <w:r w:rsidRPr="00CA4AA5">
        <w:rPr>
          <w:rFonts w:ascii="Times New Roman" w:hAnsi="Times New Roman" w:cs="Times New Roman"/>
          <w:b/>
          <w:bCs/>
        </w:rPr>
        <w:t>Podstawy patofizjologiczne zaburzeń rytmu serca:</w:t>
      </w:r>
    </w:p>
    <w:p w14:paraId="3984D9EA" w14:textId="77777777" w:rsidR="007364E8" w:rsidRPr="00CA4AA5" w:rsidRDefault="007364E8" w:rsidP="007364E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CA4AA5">
        <w:rPr>
          <w:sz w:val="22"/>
          <w:szCs w:val="22"/>
        </w:rPr>
        <w:t>Definicje tachykardii (</w:t>
      </w:r>
      <w:proofErr w:type="spellStart"/>
      <w:r w:rsidRPr="00CA4AA5">
        <w:rPr>
          <w:sz w:val="22"/>
          <w:szCs w:val="22"/>
        </w:rPr>
        <w:t>tachyarytmii</w:t>
      </w:r>
      <w:proofErr w:type="spellEnd"/>
      <w:r w:rsidRPr="00CA4AA5">
        <w:rPr>
          <w:sz w:val="22"/>
          <w:szCs w:val="22"/>
        </w:rPr>
        <w:t>) i bradykardii (</w:t>
      </w:r>
      <w:proofErr w:type="spellStart"/>
      <w:r w:rsidRPr="00CA4AA5">
        <w:rPr>
          <w:sz w:val="22"/>
          <w:szCs w:val="22"/>
        </w:rPr>
        <w:t>bradyarytmii</w:t>
      </w:r>
      <w:proofErr w:type="spellEnd"/>
      <w:r w:rsidRPr="00CA4AA5">
        <w:rPr>
          <w:sz w:val="22"/>
          <w:szCs w:val="22"/>
        </w:rPr>
        <w:t>)</w:t>
      </w:r>
    </w:p>
    <w:p w14:paraId="38A8A9E5" w14:textId="77777777" w:rsidR="007364E8" w:rsidRPr="00CA4AA5" w:rsidRDefault="007364E8" w:rsidP="007364E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CA4AA5">
        <w:rPr>
          <w:sz w:val="22"/>
          <w:szCs w:val="22"/>
        </w:rPr>
        <w:t xml:space="preserve">Patomechanizm powstawania zaburzeń rytmu: zaburzenia w automatyzmie węzła zatokowego, rytmy zastępcze, aktywność wyzwalana: wczesne depolaryzacje następcze (EAD) i późne </w:t>
      </w:r>
      <w:r w:rsidRPr="00CA4AA5">
        <w:rPr>
          <w:sz w:val="22"/>
          <w:szCs w:val="22"/>
        </w:rPr>
        <w:lastRenderedPageBreak/>
        <w:t xml:space="preserve">depolaryzacje następcze (DAD) mechanizm </w:t>
      </w:r>
      <w:proofErr w:type="spellStart"/>
      <w:r w:rsidRPr="00CA4AA5">
        <w:rPr>
          <w:sz w:val="22"/>
          <w:szCs w:val="22"/>
        </w:rPr>
        <w:t>pobudzeń</w:t>
      </w:r>
      <w:proofErr w:type="spellEnd"/>
      <w:r w:rsidRPr="00CA4AA5">
        <w:rPr>
          <w:sz w:val="22"/>
          <w:szCs w:val="22"/>
        </w:rPr>
        <w:t xml:space="preserve"> </w:t>
      </w:r>
      <w:proofErr w:type="spellStart"/>
      <w:r w:rsidRPr="00CA4AA5">
        <w:rPr>
          <w:sz w:val="22"/>
          <w:szCs w:val="22"/>
        </w:rPr>
        <w:t>ektopowych</w:t>
      </w:r>
      <w:proofErr w:type="spellEnd"/>
      <w:r w:rsidRPr="00CA4AA5">
        <w:rPr>
          <w:sz w:val="22"/>
          <w:szCs w:val="22"/>
        </w:rPr>
        <w:t xml:space="preserve"> i </w:t>
      </w:r>
      <w:proofErr w:type="spellStart"/>
      <w:r w:rsidRPr="00CA4AA5">
        <w:rPr>
          <w:sz w:val="22"/>
          <w:szCs w:val="22"/>
        </w:rPr>
        <w:t>pobudzeń</w:t>
      </w:r>
      <w:proofErr w:type="spellEnd"/>
      <w:r w:rsidRPr="00CA4AA5">
        <w:rPr>
          <w:sz w:val="22"/>
          <w:szCs w:val="22"/>
        </w:rPr>
        <w:t xml:space="preserve"> nawrotnych (re-</w:t>
      </w:r>
      <w:proofErr w:type="spellStart"/>
      <w:r w:rsidRPr="00CA4AA5">
        <w:rPr>
          <w:sz w:val="22"/>
          <w:szCs w:val="22"/>
        </w:rPr>
        <w:t>entry</w:t>
      </w:r>
      <w:proofErr w:type="spellEnd"/>
      <w:r w:rsidRPr="00CA4AA5">
        <w:rPr>
          <w:sz w:val="22"/>
          <w:szCs w:val="22"/>
        </w:rPr>
        <w:t>)</w:t>
      </w:r>
    </w:p>
    <w:p w14:paraId="398A7F66" w14:textId="77777777" w:rsidR="007364E8" w:rsidRPr="00CA4AA5" w:rsidRDefault="007364E8" w:rsidP="007364E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CA4AA5">
        <w:rPr>
          <w:sz w:val="22"/>
          <w:szCs w:val="22"/>
        </w:rPr>
        <w:t xml:space="preserve">Zespół Wolffa Parkinsona </w:t>
      </w:r>
      <w:proofErr w:type="spellStart"/>
      <w:r w:rsidRPr="00CA4AA5">
        <w:rPr>
          <w:sz w:val="22"/>
          <w:szCs w:val="22"/>
        </w:rPr>
        <w:t>White’a</w:t>
      </w:r>
      <w:proofErr w:type="spellEnd"/>
      <w:r w:rsidRPr="00CA4AA5">
        <w:rPr>
          <w:sz w:val="22"/>
          <w:szCs w:val="22"/>
        </w:rPr>
        <w:t xml:space="preserve"> (WPW) – definicja, etiopatogeneza, pojęcia: pęczek Kenta i zespół </w:t>
      </w:r>
      <w:proofErr w:type="spellStart"/>
      <w:r w:rsidRPr="00CA4AA5">
        <w:rPr>
          <w:sz w:val="22"/>
          <w:szCs w:val="22"/>
        </w:rPr>
        <w:t>preekscytacji</w:t>
      </w:r>
      <w:proofErr w:type="spellEnd"/>
      <w:r w:rsidRPr="00CA4AA5">
        <w:rPr>
          <w:sz w:val="22"/>
          <w:szCs w:val="22"/>
        </w:rPr>
        <w:t xml:space="preserve">, objawy, mechanizm powstawania częstoskurczu nawrotnego przedsionkowo-komorowego </w:t>
      </w:r>
    </w:p>
    <w:p w14:paraId="1146314B" w14:textId="77777777" w:rsidR="007364E8" w:rsidRPr="00CA4AA5" w:rsidRDefault="007364E8" w:rsidP="007364E8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CA4AA5">
        <w:rPr>
          <w:b/>
          <w:bCs/>
          <w:sz w:val="22"/>
          <w:szCs w:val="22"/>
        </w:rPr>
        <w:t>Kliniczne przykłady zaburzeń rytmu serca</w:t>
      </w:r>
      <w:r w:rsidRPr="00CA4AA5">
        <w:rPr>
          <w:sz w:val="22"/>
          <w:szCs w:val="22"/>
        </w:rPr>
        <w:t xml:space="preserve"> (definicja, etiopatogeneza, najważniejsze zmiany w EKG, ogólne objawy kliniczne i powikłania):</w:t>
      </w:r>
    </w:p>
    <w:p w14:paraId="4CDDB76D" w14:textId="77777777" w:rsidR="007364E8" w:rsidRPr="00CA4AA5" w:rsidRDefault="007364E8" w:rsidP="007364E8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CA4AA5">
        <w:rPr>
          <w:sz w:val="22"/>
          <w:szCs w:val="22"/>
        </w:rPr>
        <w:t>Zaburzenia powstawania bodźców: bradykardia zatokowa, tachykardia zatokowa, niemiarowość zatokowa</w:t>
      </w:r>
    </w:p>
    <w:p w14:paraId="70D2BEBD" w14:textId="77777777" w:rsidR="007364E8" w:rsidRPr="00CA4AA5" w:rsidRDefault="007364E8" w:rsidP="007364E8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CA4AA5">
        <w:rPr>
          <w:sz w:val="22"/>
          <w:szCs w:val="22"/>
        </w:rPr>
        <w:t xml:space="preserve">Zaburzenia powstawania bodźców </w:t>
      </w:r>
      <w:proofErr w:type="spellStart"/>
      <w:r w:rsidRPr="00CA4AA5">
        <w:rPr>
          <w:sz w:val="22"/>
          <w:szCs w:val="22"/>
        </w:rPr>
        <w:t>ektopowe</w:t>
      </w:r>
      <w:proofErr w:type="spellEnd"/>
      <w:r w:rsidRPr="00CA4AA5">
        <w:rPr>
          <w:sz w:val="22"/>
          <w:szCs w:val="22"/>
        </w:rPr>
        <w:t>:</w:t>
      </w:r>
    </w:p>
    <w:p w14:paraId="5FEC594F" w14:textId="77777777" w:rsidR="007364E8" w:rsidRPr="00CA4AA5" w:rsidRDefault="007364E8" w:rsidP="007364E8">
      <w:pPr>
        <w:pStyle w:val="NormalnyWeb"/>
        <w:spacing w:before="0" w:beforeAutospacing="0" w:after="0" w:afterAutospacing="0" w:line="276" w:lineRule="auto"/>
        <w:ind w:left="360"/>
        <w:contextualSpacing/>
        <w:jc w:val="both"/>
        <w:rPr>
          <w:sz w:val="22"/>
          <w:szCs w:val="22"/>
        </w:rPr>
      </w:pPr>
      <w:r w:rsidRPr="00CA4AA5">
        <w:rPr>
          <w:sz w:val="22"/>
          <w:szCs w:val="22"/>
        </w:rPr>
        <w:t>- nadkomorowe: przedwczesne pobudzenia przedsionkowe, trzepotanie przedsionków, migotanie przedsionków</w:t>
      </w:r>
    </w:p>
    <w:p w14:paraId="092B2742" w14:textId="77777777" w:rsidR="007364E8" w:rsidRPr="00CA4AA5" w:rsidRDefault="007364E8" w:rsidP="007364E8">
      <w:pPr>
        <w:pStyle w:val="NormalnyWeb"/>
        <w:spacing w:before="0" w:beforeAutospacing="0" w:after="0" w:afterAutospacing="0" w:line="276" w:lineRule="auto"/>
        <w:ind w:left="360"/>
        <w:contextualSpacing/>
        <w:jc w:val="both"/>
        <w:rPr>
          <w:sz w:val="22"/>
          <w:szCs w:val="22"/>
        </w:rPr>
      </w:pPr>
      <w:r w:rsidRPr="00CA4AA5">
        <w:rPr>
          <w:sz w:val="22"/>
          <w:szCs w:val="22"/>
        </w:rPr>
        <w:t>- komorowe: przedwczesne pobudzenia komorowe, częstoskurcze komorowe, trzepotanie komór, migotanie komór</w:t>
      </w:r>
    </w:p>
    <w:p w14:paraId="578DD69B" w14:textId="77777777" w:rsidR="007364E8" w:rsidRPr="00CA4AA5" w:rsidRDefault="007364E8" w:rsidP="007364E8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 xml:space="preserve">Zaburzenia przewodzenia bodźców: podział (zatokowo-przedsionkowe, przedsionkowo-komorowe), charakterystyka bloków przedsionkowo-komorowych: I stopnia, II stopnia (blok typu </w:t>
      </w:r>
      <w:proofErr w:type="spellStart"/>
      <w:r w:rsidRPr="00CA4AA5">
        <w:rPr>
          <w:rFonts w:ascii="Times New Roman" w:hAnsi="Times New Roman" w:cs="Times New Roman"/>
        </w:rPr>
        <w:t>Mobitz</w:t>
      </w:r>
      <w:proofErr w:type="spellEnd"/>
      <w:r w:rsidRPr="00CA4AA5">
        <w:rPr>
          <w:rFonts w:ascii="Times New Roman" w:hAnsi="Times New Roman" w:cs="Times New Roman"/>
        </w:rPr>
        <w:t xml:space="preserve"> I/blok </w:t>
      </w:r>
      <w:proofErr w:type="spellStart"/>
      <w:r w:rsidRPr="00CA4AA5">
        <w:rPr>
          <w:rFonts w:ascii="Times New Roman" w:hAnsi="Times New Roman" w:cs="Times New Roman"/>
        </w:rPr>
        <w:t>Wenckebacha</w:t>
      </w:r>
      <w:proofErr w:type="spellEnd"/>
      <w:r w:rsidRPr="00CA4AA5">
        <w:rPr>
          <w:rFonts w:ascii="Times New Roman" w:hAnsi="Times New Roman" w:cs="Times New Roman"/>
        </w:rPr>
        <w:t xml:space="preserve"> i blok typu </w:t>
      </w:r>
      <w:proofErr w:type="spellStart"/>
      <w:r w:rsidRPr="00CA4AA5">
        <w:rPr>
          <w:rFonts w:ascii="Times New Roman" w:hAnsi="Times New Roman" w:cs="Times New Roman"/>
        </w:rPr>
        <w:t>Mobitz</w:t>
      </w:r>
      <w:proofErr w:type="spellEnd"/>
      <w:r w:rsidRPr="00CA4AA5">
        <w:rPr>
          <w:rFonts w:ascii="Times New Roman" w:hAnsi="Times New Roman" w:cs="Times New Roman"/>
        </w:rPr>
        <w:t xml:space="preserve"> II/blok </w:t>
      </w:r>
      <w:proofErr w:type="spellStart"/>
      <w:r w:rsidRPr="00CA4AA5">
        <w:rPr>
          <w:rFonts w:ascii="Times New Roman" w:hAnsi="Times New Roman" w:cs="Times New Roman"/>
        </w:rPr>
        <w:t>Mobitza</w:t>
      </w:r>
      <w:proofErr w:type="spellEnd"/>
      <w:r w:rsidRPr="00CA4AA5">
        <w:rPr>
          <w:rFonts w:ascii="Times New Roman" w:hAnsi="Times New Roman" w:cs="Times New Roman"/>
        </w:rPr>
        <w:t>), III stopnia (całkowity)</w:t>
      </w:r>
    </w:p>
    <w:p w14:paraId="776EEB05" w14:textId="77777777" w:rsidR="007364E8" w:rsidRDefault="007364E8" w:rsidP="007364E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  <w:b/>
          <w:bCs/>
        </w:rPr>
        <w:t>Wrodzone wady serca:</w:t>
      </w:r>
      <w:r w:rsidRPr="00CA4AA5">
        <w:rPr>
          <w:rFonts w:ascii="Times New Roman" w:hAnsi="Times New Roman" w:cs="Times New Roman"/>
        </w:rPr>
        <w:t xml:space="preserve"> </w:t>
      </w:r>
    </w:p>
    <w:p w14:paraId="753B228A" w14:textId="1BF96E8D" w:rsidR="007364E8" w:rsidRDefault="007364E8" w:rsidP="007364E8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A4AA5">
        <w:rPr>
          <w:rFonts w:ascii="Times New Roman" w:hAnsi="Times New Roman" w:cs="Times New Roman"/>
        </w:rPr>
        <w:t>odział wad serca, przyczyny i patomechanizm rozwoju, podział wad serca (</w:t>
      </w:r>
      <w:proofErr w:type="spellStart"/>
      <w:r w:rsidRPr="00CA4AA5">
        <w:rPr>
          <w:rFonts w:ascii="Times New Roman" w:hAnsi="Times New Roman" w:cs="Times New Roman"/>
        </w:rPr>
        <w:t>bezsinicze</w:t>
      </w:r>
      <w:proofErr w:type="spellEnd"/>
      <w:r w:rsidRPr="00CA4AA5">
        <w:rPr>
          <w:rFonts w:ascii="Times New Roman" w:hAnsi="Times New Roman" w:cs="Times New Roman"/>
        </w:rPr>
        <w:t>, wczesno-</w:t>
      </w:r>
      <w:r w:rsidR="004A5753">
        <w:rPr>
          <w:rFonts w:ascii="Times New Roman" w:hAnsi="Times New Roman" w:cs="Times New Roman"/>
        </w:rPr>
        <w:t xml:space="preserve">       </w:t>
      </w:r>
      <w:r w:rsidRPr="00CA4AA5">
        <w:rPr>
          <w:rFonts w:ascii="Times New Roman" w:hAnsi="Times New Roman" w:cs="Times New Roman"/>
        </w:rPr>
        <w:t xml:space="preserve"> i </w:t>
      </w:r>
      <w:proofErr w:type="spellStart"/>
      <w:r w:rsidRPr="00CA4AA5">
        <w:rPr>
          <w:rFonts w:ascii="Times New Roman" w:hAnsi="Times New Roman" w:cs="Times New Roman"/>
        </w:rPr>
        <w:t>późnosinicze</w:t>
      </w:r>
      <w:proofErr w:type="spellEnd"/>
      <w:r w:rsidRPr="00CA4AA5">
        <w:rPr>
          <w:rFonts w:ascii="Times New Roman" w:hAnsi="Times New Roman" w:cs="Times New Roman"/>
        </w:rPr>
        <w:t>)</w:t>
      </w:r>
    </w:p>
    <w:p w14:paraId="78A8EE8F" w14:textId="77777777" w:rsidR="007364E8" w:rsidRPr="00CA4AA5" w:rsidRDefault="007364E8" w:rsidP="007364E8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Charakterystyka mechanizmu, objawów oraz konsekwencji wybranych wad wrodzonych serca: </w:t>
      </w:r>
      <w:proofErr w:type="spellStart"/>
      <w:r>
        <w:rPr>
          <w:rFonts w:ascii="Times New Roman" w:hAnsi="Times New Roman" w:cs="Times New Roman"/>
        </w:rPr>
        <w:t>koarktacja</w:t>
      </w:r>
      <w:proofErr w:type="spellEnd"/>
      <w:r>
        <w:rPr>
          <w:rFonts w:ascii="Times New Roman" w:hAnsi="Times New Roman" w:cs="Times New Roman"/>
        </w:rPr>
        <w:t xml:space="preserve"> aorty, ASD, VSD, przetrwały przewód tętniczy, anomalia </w:t>
      </w:r>
      <w:proofErr w:type="spellStart"/>
      <w:r>
        <w:rPr>
          <w:rFonts w:ascii="Times New Roman" w:hAnsi="Times New Roman" w:cs="Times New Roman"/>
        </w:rPr>
        <w:t>Ebsteina</w:t>
      </w:r>
      <w:proofErr w:type="spellEnd"/>
      <w:r>
        <w:rPr>
          <w:rFonts w:ascii="Times New Roman" w:hAnsi="Times New Roman" w:cs="Times New Roman"/>
        </w:rPr>
        <w:t xml:space="preserve">, wady </w:t>
      </w:r>
      <w:proofErr w:type="spellStart"/>
      <w:r>
        <w:rPr>
          <w:rFonts w:ascii="Times New Roman" w:hAnsi="Times New Roman" w:cs="Times New Roman"/>
        </w:rPr>
        <w:t>Fallota</w:t>
      </w:r>
      <w:proofErr w:type="spellEnd"/>
      <w:r>
        <w:rPr>
          <w:rFonts w:ascii="Times New Roman" w:hAnsi="Times New Roman" w:cs="Times New Roman"/>
        </w:rPr>
        <w:t>, przełożenie naczyń</w:t>
      </w:r>
    </w:p>
    <w:bookmarkEnd w:id="4"/>
    <w:p w14:paraId="41B26FF8" w14:textId="77777777" w:rsidR="00FD528D" w:rsidRPr="00CA4AA5" w:rsidRDefault="00FD528D" w:rsidP="005318E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757E4E50" w14:textId="3DE0038E" w:rsidR="00FD528D" w:rsidRDefault="00FD528D" w:rsidP="004A5753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CA4AA5">
        <w:rPr>
          <w:rFonts w:ascii="Times New Roman" w:hAnsi="Times New Roman" w:cs="Times New Roman"/>
          <w:b/>
          <w:u w:val="single"/>
        </w:rPr>
        <w:t>ĆWICZENIE NR 4</w:t>
      </w:r>
      <w:r w:rsidR="00E33D52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F16D76" w:rsidRPr="00CA4AA5">
        <w:rPr>
          <w:rFonts w:ascii="Times New Roman" w:hAnsi="Times New Roman" w:cs="Times New Roman"/>
          <w:b/>
          <w:u w:val="single"/>
        </w:rPr>
        <w:t>–</w:t>
      </w:r>
      <w:r w:rsidR="0025223A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2D7C91">
        <w:rPr>
          <w:rFonts w:ascii="Times New Roman" w:hAnsi="Times New Roman" w:cs="Times New Roman"/>
          <w:b/>
          <w:u w:val="single"/>
        </w:rPr>
        <w:t>24-25</w:t>
      </w:r>
      <w:r w:rsidR="0025223A" w:rsidRPr="00CA4AA5">
        <w:rPr>
          <w:rFonts w:ascii="Times New Roman" w:hAnsi="Times New Roman" w:cs="Times New Roman"/>
          <w:b/>
          <w:u w:val="single"/>
        </w:rPr>
        <w:t>.</w:t>
      </w:r>
      <w:r w:rsidR="007A42C8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25223A" w:rsidRPr="00CA4AA5">
        <w:rPr>
          <w:rFonts w:ascii="Times New Roman" w:hAnsi="Times New Roman" w:cs="Times New Roman"/>
          <w:b/>
          <w:u w:val="single"/>
        </w:rPr>
        <w:t xml:space="preserve">X. </w:t>
      </w:r>
      <w:r w:rsidR="002D7C91">
        <w:rPr>
          <w:rFonts w:ascii="Times New Roman" w:hAnsi="Times New Roman" w:cs="Times New Roman"/>
          <w:b/>
          <w:u w:val="single"/>
        </w:rPr>
        <w:t>2022</w:t>
      </w:r>
    </w:p>
    <w:p w14:paraId="40BAAEA0" w14:textId="77777777" w:rsidR="007364E8" w:rsidRPr="00CA4AA5" w:rsidRDefault="007364E8" w:rsidP="004A5753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</w:rPr>
      </w:pPr>
      <w:r w:rsidRPr="00CA4AA5">
        <w:rPr>
          <w:rFonts w:ascii="Times New Roman" w:hAnsi="Times New Roman" w:cs="Times New Roman"/>
          <w:b/>
        </w:rPr>
        <w:t xml:space="preserve">Odporność </w:t>
      </w:r>
    </w:p>
    <w:p w14:paraId="54C9F582" w14:textId="77777777" w:rsidR="007364E8" w:rsidRPr="00CA4AA5" w:rsidRDefault="007364E8" w:rsidP="004A575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 xml:space="preserve">Pojęcia: antygen, przeciwciało </w:t>
      </w:r>
      <w:bookmarkStart w:id="5" w:name="_Hlk83367204"/>
      <w:r w:rsidRPr="00CA4AA5">
        <w:rPr>
          <w:rFonts w:ascii="Times New Roman" w:hAnsi="Times New Roman" w:cs="Times New Roman"/>
        </w:rPr>
        <w:t>(budowa, klasy przeciwciał i ich znaczenie)</w:t>
      </w:r>
      <w:bookmarkEnd w:id="5"/>
    </w:p>
    <w:p w14:paraId="62DC5DB5" w14:textId="77777777" w:rsidR="007364E8" w:rsidRPr="00CA4AA5" w:rsidRDefault="007364E8" w:rsidP="007364E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 xml:space="preserve">Odporność  czynna i bierna, swoista i nieswoista, nabyta i wrodzona, przyczyny wrodzonych                             i nabytych niedoborów odporności </w:t>
      </w:r>
    </w:p>
    <w:p w14:paraId="3B03CEA8" w14:textId="77777777" w:rsidR="007364E8" w:rsidRPr="00CA4AA5" w:rsidRDefault="007364E8" w:rsidP="007364E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Komórki układu immunologicznego: limfocyty, monocyty i makrofagi, komórki prezentujące antygen (APC)</w:t>
      </w:r>
    </w:p>
    <w:p w14:paraId="1C1BDE12" w14:textId="77777777" w:rsidR="007364E8" w:rsidRPr="00CA4AA5" w:rsidRDefault="007364E8" w:rsidP="007364E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Odpowiedź immunologiczna humoralna i komórkowa - mechanizm</w:t>
      </w:r>
    </w:p>
    <w:p w14:paraId="7423269D" w14:textId="77777777" w:rsidR="007364E8" w:rsidRPr="00CA4AA5" w:rsidRDefault="007364E8" w:rsidP="007364E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Odpowiedź immunologiczna pierwotna i wtórna, komórki pamięci immunologicznej</w:t>
      </w:r>
    </w:p>
    <w:p w14:paraId="038D3938" w14:textId="77777777" w:rsidR="007364E8" w:rsidRPr="00CA4AA5" w:rsidRDefault="007364E8" w:rsidP="007364E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A4AA5">
        <w:rPr>
          <w:rFonts w:ascii="Times New Roman" w:hAnsi="Times New Roman" w:cs="Times New Roman"/>
          <w:b/>
        </w:rPr>
        <w:t>Nadwrażliwość</w:t>
      </w:r>
    </w:p>
    <w:p w14:paraId="5BD8C746" w14:textId="77777777" w:rsidR="007364E8" w:rsidRPr="00CA4AA5" w:rsidRDefault="007364E8" w:rsidP="007364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bookmarkStart w:id="6" w:name="_Hlk83367300"/>
      <w:r w:rsidRPr="00CA4AA5">
        <w:rPr>
          <w:rFonts w:ascii="Times New Roman" w:hAnsi="Times New Roman" w:cs="Times New Roman"/>
        </w:rPr>
        <w:t>Pojęcia: nadwrażliwość, alergen, alergia, atopia, alergia atopowa</w:t>
      </w:r>
      <w:bookmarkEnd w:id="6"/>
    </w:p>
    <w:p w14:paraId="2661AF88" w14:textId="77777777" w:rsidR="007364E8" w:rsidRPr="00CA4AA5" w:rsidRDefault="007364E8" w:rsidP="007364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Typy reakcji nadwrażliwości (I – V) - ich mechanizmy i przykłady</w:t>
      </w:r>
    </w:p>
    <w:p w14:paraId="0C97CBDA" w14:textId="77777777" w:rsidR="007364E8" w:rsidRPr="00CA4AA5" w:rsidRDefault="007364E8" w:rsidP="007364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 xml:space="preserve">Anafilaksja (wstrząs anafilaktyczny) </w:t>
      </w:r>
    </w:p>
    <w:p w14:paraId="36741CB3" w14:textId="77777777" w:rsidR="007364E8" w:rsidRPr="00CA4AA5" w:rsidRDefault="007364E8" w:rsidP="007364E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A4AA5">
        <w:rPr>
          <w:rFonts w:ascii="Times New Roman" w:hAnsi="Times New Roman" w:cs="Times New Roman"/>
          <w:b/>
        </w:rPr>
        <w:t>Autoimmunizacja</w:t>
      </w:r>
    </w:p>
    <w:p w14:paraId="1F7DC2D7" w14:textId="77777777" w:rsidR="007364E8" w:rsidRPr="00CA4AA5" w:rsidRDefault="007364E8" w:rsidP="007364E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bookmarkStart w:id="7" w:name="_Hlk83373152"/>
      <w:proofErr w:type="spellStart"/>
      <w:r w:rsidRPr="00CA4AA5">
        <w:rPr>
          <w:rFonts w:ascii="Times New Roman" w:hAnsi="Times New Roman" w:cs="Times New Roman"/>
        </w:rPr>
        <w:t>Autotolerancja</w:t>
      </w:r>
      <w:proofErr w:type="spellEnd"/>
      <w:r w:rsidRPr="00CA4AA5">
        <w:rPr>
          <w:rFonts w:ascii="Times New Roman" w:hAnsi="Times New Roman" w:cs="Times New Roman"/>
        </w:rPr>
        <w:t xml:space="preserve"> immunologiczna </w:t>
      </w:r>
      <w:r>
        <w:rPr>
          <w:rFonts w:ascii="Times New Roman" w:hAnsi="Times New Roman"/>
        </w:rPr>
        <w:t xml:space="preserve">(pojęcie, mechanizmy) </w:t>
      </w:r>
      <w:r w:rsidRPr="00CA4AA5">
        <w:rPr>
          <w:rFonts w:ascii="Times New Roman" w:hAnsi="Times New Roman" w:cs="Times New Roman"/>
        </w:rPr>
        <w:t>i autoimmunizacja</w:t>
      </w:r>
    </w:p>
    <w:p w14:paraId="36A87458" w14:textId="77777777" w:rsidR="007364E8" w:rsidRPr="00CA4AA5" w:rsidRDefault="007364E8" w:rsidP="007364E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Mechanizm powstawania choroby autoimmunologicznej</w:t>
      </w:r>
    </w:p>
    <w:p w14:paraId="77841D52" w14:textId="77777777" w:rsidR="007364E8" w:rsidRPr="00CA4AA5" w:rsidRDefault="007364E8" w:rsidP="007364E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Rodzaje chorób autoimmunizacyjnych (uogólnione i narządowo swoiste)</w:t>
      </w:r>
    </w:p>
    <w:bookmarkEnd w:id="7"/>
    <w:p w14:paraId="2DFA8735" w14:textId="77777777" w:rsidR="006F6E69" w:rsidRPr="00CA4AA5" w:rsidRDefault="006F6E69" w:rsidP="005318E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12D91B47" w14:textId="77777777" w:rsidR="009D66BB" w:rsidRPr="00CA4AA5" w:rsidRDefault="009D66BB" w:rsidP="005318E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2DF8363B" w14:textId="050B0299" w:rsidR="00FD528D" w:rsidRDefault="00E33D52" w:rsidP="005318E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CA4AA5">
        <w:rPr>
          <w:rFonts w:ascii="Times New Roman" w:hAnsi="Times New Roman" w:cs="Times New Roman"/>
          <w:b/>
          <w:u w:val="single"/>
        </w:rPr>
        <w:t xml:space="preserve">ĆWICZENIE NR 5 </w:t>
      </w:r>
      <w:r w:rsidR="00F16D76" w:rsidRPr="00CA4AA5">
        <w:rPr>
          <w:rFonts w:ascii="Times New Roman" w:hAnsi="Times New Roman" w:cs="Times New Roman"/>
          <w:b/>
          <w:u w:val="single"/>
        </w:rPr>
        <w:t>–</w:t>
      </w:r>
      <w:r w:rsidR="00C97D00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2D7C91">
        <w:rPr>
          <w:rFonts w:ascii="Times New Roman" w:hAnsi="Times New Roman" w:cs="Times New Roman"/>
          <w:b/>
          <w:u w:val="single"/>
        </w:rPr>
        <w:t>7-8</w:t>
      </w:r>
      <w:r w:rsidR="007A42C8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C97D00" w:rsidRPr="00CA4AA5">
        <w:rPr>
          <w:rFonts w:ascii="Times New Roman" w:hAnsi="Times New Roman" w:cs="Times New Roman"/>
          <w:b/>
          <w:u w:val="single"/>
        </w:rPr>
        <w:t>XI.</w:t>
      </w:r>
      <w:r w:rsidR="007A42C8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2D7C91">
        <w:rPr>
          <w:rFonts w:ascii="Times New Roman" w:hAnsi="Times New Roman" w:cs="Times New Roman"/>
          <w:b/>
          <w:u w:val="single"/>
        </w:rPr>
        <w:t>2022</w:t>
      </w:r>
    </w:p>
    <w:p w14:paraId="07DF2B80" w14:textId="77777777" w:rsidR="007364E8" w:rsidRDefault="007364E8" w:rsidP="005318E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719F2457" w14:textId="77777777" w:rsidR="007364E8" w:rsidRPr="00CA4AA5" w:rsidRDefault="007364E8" w:rsidP="007364E8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  <w:b/>
          <w:bCs/>
        </w:rPr>
        <w:t>Niewydolność krążenia pochodzenia obwodowego</w:t>
      </w:r>
      <w:r w:rsidRPr="00CA4AA5">
        <w:rPr>
          <w:rFonts w:ascii="Times New Roman" w:hAnsi="Times New Roman" w:cs="Times New Roman"/>
        </w:rPr>
        <w:t xml:space="preserve"> (hipotensja, omdlenia odruchowe, ortostatyczne)</w:t>
      </w:r>
      <w:bookmarkStart w:id="8" w:name="_Hlk83387948"/>
    </w:p>
    <w:p w14:paraId="01421FE9" w14:textId="77777777" w:rsidR="007364E8" w:rsidRPr="00CA4AA5" w:rsidRDefault="007364E8" w:rsidP="007364E8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  <w:b/>
          <w:bCs/>
        </w:rPr>
        <w:t>Wstrząs</w:t>
      </w:r>
    </w:p>
    <w:p w14:paraId="60CEDC53" w14:textId="77777777" w:rsidR="007364E8" w:rsidRPr="00CA4AA5" w:rsidRDefault="007364E8" w:rsidP="007364E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Definicja, wskaźniki wstrząsu, objawy ogólne i fazy wstrząsu, podział kliniczny i patofizjologiczny</w:t>
      </w:r>
    </w:p>
    <w:p w14:paraId="7AE73C35" w14:textId="77777777" w:rsidR="007364E8" w:rsidRPr="00CA4AA5" w:rsidRDefault="007364E8" w:rsidP="007364E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lastRenderedPageBreak/>
        <w:t>Charakterystyka wstrząsu hipowolemicznego, dystrybucyjnego (anafilaktyczny, septyczny) patomechanizm, objawy i powikłania</w:t>
      </w:r>
    </w:p>
    <w:p w14:paraId="13FDC3AE" w14:textId="77777777" w:rsidR="007364E8" w:rsidRPr="00CA4AA5" w:rsidRDefault="007364E8" w:rsidP="007364E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Pojęcia: sepsa (posocznica), MODS, SIRS</w:t>
      </w:r>
    </w:p>
    <w:p w14:paraId="6D2DB9F4" w14:textId="771AAF3B" w:rsidR="00185D70" w:rsidRDefault="007364E8" w:rsidP="001420D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Zespół wykrzepiania wewnątrznaczyniowego (DIC) – przyczyny, patomechanizm, stadia, objawy</w:t>
      </w:r>
      <w:bookmarkEnd w:id="8"/>
    </w:p>
    <w:p w14:paraId="55C16C22" w14:textId="77777777" w:rsidR="001420DB" w:rsidRPr="001420DB" w:rsidRDefault="001420DB" w:rsidP="001420DB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0E43B5E3" w14:textId="77777777" w:rsidR="00FD528D" w:rsidRPr="00CA4AA5" w:rsidRDefault="00FD528D" w:rsidP="005318E0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  <w:b/>
        </w:rPr>
      </w:pPr>
    </w:p>
    <w:p w14:paraId="448E7B19" w14:textId="5ED937E6" w:rsidR="00E458CC" w:rsidRPr="00CA4AA5" w:rsidRDefault="00E33D52" w:rsidP="004A57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CA4AA5">
        <w:rPr>
          <w:rFonts w:ascii="Times New Roman" w:hAnsi="Times New Roman" w:cs="Times New Roman"/>
          <w:b/>
          <w:u w:val="single"/>
        </w:rPr>
        <w:t xml:space="preserve">ĆWICZENIE NR 6 </w:t>
      </w:r>
      <w:r w:rsidR="00B41020" w:rsidRPr="00CA4AA5">
        <w:rPr>
          <w:rFonts w:ascii="Times New Roman" w:hAnsi="Times New Roman" w:cs="Times New Roman"/>
          <w:b/>
          <w:u w:val="single"/>
        </w:rPr>
        <w:t xml:space="preserve">– </w:t>
      </w:r>
      <w:r w:rsidR="002D7C91">
        <w:rPr>
          <w:rFonts w:ascii="Times New Roman" w:hAnsi="Times New Roman" w:cs="Times New Roman"/>
          <w:b/>
          <w:u w:val="single"/>
        </w:rPr>
        <w:t>14-15.</w:t>
      </w:r>
      <w:r w:rsidR="007A42C8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C97D00" w:rsidRPr="00CA4AA5">
        <w:rPr>
          <w:rFonts w:ascii="Times New Roman" w:hAnsi="Times New Roman" w:cs="Times New Roman"/>
          <w:b/>
          <w:u w:val="single"/>
        </w:rPr>
        <w:t>XI.</w:t>
      </w:r>
      <w:r w:rsidR="007A42C8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2D7C91">
        <w:rPr>
          <w:rFonts w:ascii="Times New Roman" w:hAnsi="Times New Roman" w:cs="Times New Roman"/>
          <w:b/>
          <w:u w:val="single"/>
        </w:rPr>
        <w:t>2022</w:t>
      </w:r>
    </w:p>
    <w:p w14:paraId="2D68C5D7" w14:textId="77777777" w:rsidR="007364E8" w:rsidRPr="00CA4AA5" w:rsidRDefault="007364E8" w:rsidP="007364E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277AA3C5" w14:textId="77777777" w:rsidR="007364E8" w:rsidRPr="00CA4AA5" w:rsidRDefault="007364E8" w:rsidP="007364E8">
      <w:pPr>
        <w:pStyle w:val="Akapitzlist"/>
        <w:numPr>
          <w:ilvl w:val="0"/>
          <w:numId w:val="18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CA4AA5">
        <w:rPr>
          <w:rFonts w:ascii="Times New Roman" w:hAnsi="Times New Roman" w:cs="Times New Roman"/>
          <w:b/>
        </w:rPr>
        <w:t xml:space="preserve">Przypomnienie wiadomości z fizjologii </w:t>
      </w:r>
      <w:r w:rsidRPr="00CA4AA5">
        <w:rPr>
          <w:rFonts w:ascii="Times New Roman" w:hAnsi="Times New Roman" w:cs="Times New Roman"/>
          <w:bCs/>
        </w:rPr>
        <w:t>(przestrzenie płynowe, rola układu autonomicznego, układu RAA, baroreceptorów, ANP, ADH w regulacji gospodarki wodno-elektrolitowej)</w:t>
      </w:r>
    </w:p>
    <w:p w14:paraId="26E98E2A" w14:textId="77777777" w:rsidR="007364E8" w:rsidRPr="00CA4AA5" w:rsidRDefault="007364E8" w:rsidP="007364E8">
      <w:pPr>
        <w:pStyle w:val="Akapitzlist"/>
        <w:numPr>
          <w:ilvl w:val="0"/>
          <w:numId w:val="18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CA4AA5">
        <w:rPr>
          <w:rFonts w:ascii="Times New Roman" w:hAnsi="Times New Roman" w:cs="Times New Roman"/>
          <w:b/>
          <w:bCs/>
        </w:rPr>
        <w:t xml:space="preserve">Odwodnienie i </w:t>
      </w:r>
      <w:proofErr w:type="spellStart"/>
      <w:r w:rsidRPr="00CA4AA5">
        <w:rPr>
          <w:rFonts w:ascii="Times New Roman" w:hAnsi="Times New Roman" w:cs="Times New Roman"/>
          <w:b/>
          <w:bCs/>
        </w:rPr>
        <w:t>przewodnienie</w:t>
      </w:r>
      <w:proofErr w:type="spellEnd"/>
      <w:r w:rsidRPr="00CA4AA5">
        <w:rPr>
          <w:rFonts w:ascii="Times New Roman" w:hAnsi="Times New Roman" w:cs="Times New Roman"/>
          <w:b/>
          <w:bCs/>
        </w:rPr>
        <w:t>:</w:t>
      </w:r>
    </w:p>
    <w:p w14:paraId="68FFB3AD" w14:textId="77777777" w:rsidR="007364E8" w:rsidRPr="00CA4AA5" w:rsidRDefault="007364E8" w:rsidP="007364E8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357" w:hanging="357"/>
        <w:contextualSpacing/>
        <w:jc w:val="both"/>
        <w:rPr>
          <w:sz w:val="22"/>
          <w:szCs w:val="22"/>
        </w:rPr>
      </w:pPr>
      <w:r w:rsidRPr="00CA4AA5">
        <w:rPr>
          <w:sz w:val="22"/>
          <w:szCs w:val="22"/>
        </w:rPr>
        <w:t xml:space="preserve">Pojęcia </w:t>
      </w:r>
      <w:proofErr w:type="spellStart"/>
      <w:r w:rsidRPr="00CA4AA5">
        <w:rPr>
          <w:sz w:val="22"/>
          <w:szCs w:val="22"/>
        </w:rPr>
        <w:t>hipo</w:t>
      </w:r>
      <w:proofErr w:type="spellEnd"/>
      <w:r w:rsidRPr="00CA4AA5">
        <w:rPr>
          <w:sz w:val="22"/>
          <w:szCs w:val="22"/>
        </w:rPr>
        <w:t>- i hiperwolemii oraz udział mechanizmów homeostatycznych w przywróceniu prawidłowej objętości płynowej</w:t>
      </w:r>
    </w:p>
    <w:p w14:paraId="349CEC8F" w14:textId="77777777" w:rsidR="007364E8" w:rsidRPr="00CA4AA5" w:rsidRDefault="007364E8" w:rsidP="007364E8">
      <w:pPr>
        <w:pStyle w:val="NormalnyWeb"/>
        <w:numPr>
          <w:ilvl w:val="0"/>
          <w:numId w:val="17"/>
        </w:numPr>
        <w:spacing w:before="0" w:beforeAutospacing="0" w:after="120" w:afterAutospacing="0" w:line="276" w:lineRule="auto"/>
        <w:ind w:left="357" w:hanging="357"/>
        <w:contextualSpacing/>
        <w:jc w:val="both"/>
        <w:rPr>
          <w:sz w:val="22"/>
          <w:szCs w:val="22"/>
        </w:rPr>
      </w:pPr>
      <w:r w:rsidRPr="00CA4AA5">
        <w:rPr>
          <w:sz w:val="22"/>
          <w:szCs w:val="22"/>
        </w:rPr>
        <w:t>Odwodnienie hipotoniczne, izotoniczne, hipertoniczne – mechanizm, przyczyny</w:t>
      </w:r>
    </w:p>
    <w:p w14:paraId="032BF555" w14:textId="77777777" w:rsidR="007364E8" w:rsidRPr="00CA4AA5" w:rsidRDefault="007364E8" w:rsidP="007364E8">
      <w:pPr>
        <w:pStyle w:val="NormalnyWeb"/>
        <w:numPr>
          <w:ilvl w:val="0"/>
          <w:numId w:val="17"/>
        </w:numPr>
        <w:spacing w:before="0" w:beforeAutospacing="0" w:after="120" w:afterAutospacing="0" w:line="276" w:lineRule="auto"/>
        <w:ind w:left="357" w:hanging="357"/>
        <w:contextualSpacing/>
        <w:jc w:val="both"/>
        <w:rPr>
          <w:sz w:val="22"/>
          <w:szCs w:val="22"/>
        </w:rPr>
      </w:pPr>
      <w:proofErr w:type="spellStart"/>
      <w:r w:rsidRPr="00CA4AA5">
        <w:rPr>
          <w:sz w:val="22"/>
          <w:szCs w:val="22"/>
        </w:rPr>
        <w:t>Przewodnienie</w:t>
      </w:r>
      <w:proofErr w:type="spellEnd"/>
      <w:r w:rsidRPr="00CA4AA5">
        <w:rPr>
          <w:sz w:val="22"/>
          <w:szCs w:val="22"/>
        </w:rPr>
        <w:t xml:space="preserve"> hipotoniczne, izotoniczne, hipertoniczne – mechanizm, przyczyny</w:t>
      </w:r>
    </w:p>
    <w:p w14:paraId="486F6704" w14:textId="77777777" w:rsidR="007364E8" w:rsidRPr="00CA4AA5" w:rsidRDefault="007364E8" w:rsidP="007364E8">
      <w:pPr>
        <w:pStyle w:val="NormalnyWeb"/>
        <w:numPr>
          <w:ilvl w:val="0"/>
          <w:numId w:val="17"/>
        </w:numPr>
        <w:spacing w:before="0" w:beforeAutospacing="0" w:after="120" w:afterAutospacing="0" w:line="276" w:lineRule="auto"/>
        <w:ind w:left="357" w:hanging="357"/>
        <w:contextualSpacing/>
        <w:jc w:val="both"/>
        <w:rPr>
          <w:sz w:val="22"/>
          <w:szCs w:val="22"/>
        </w:rPr>
      </w:pPr>
      <w:r w:rsidRPr="00CA4AA5">
        <w:rPr>
          <w:sz w:val="22"/>
          <w:szCs w:val="22"/>
        </w:rPr>
        <w:t xml:space="preserve">Objawy oraz ogólne konsekwencje </w:t>
      </w:r>
      <w:proofErr w:type="spellStart"/>
      <w:r w:rsidRPr="00CA4AA5">
        <w:rPr>
          <w:sz w:val="22"/>
          <w:szCs w:val="22"/>
        </w:rPr>
        <w:t>przewodnienia</w:t>
      </w:r>
      <w:proofErr w:type="spellEnd"/>
      <w:r w:rsidRPr="00CA4AA5">
        <w:rPr>
          <w:sz w:val="22"/>
          <w:szCs w:val="22"/>
        </w:rPr>
        <w:t xml:space="preserve"> i odwodnienia</w:t>
      </w:r>
    </w:p>
    <w:p w14:paraId="74CFD394" w14:textId="77777777" w:rsidR="007364E8" w:rsidRPr="00CA4AA5" w:rsidRDefault="007364E8" w:rsidP="007364E8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357" w:hanging="357"/>
        <w:jc w:val="both"/>
        <w:rPr>
          <w:sz w:val="22"/>
          <w:szCs w:val="22"/>
        </w:rPr>
      </w:pPr>
      <w:r w:rsidRPr="00CA4AA5">
        <w:rPr>
          <w:sz w:val="22"/>
          <w:szCs w:val="22"/>
        </w:rPr>
        <w:t>Odwodnienie u noworodków</w:t>
      </w:r>
    </w:p>
    <w:p w14:paraId="63F4BE6A" w14:textId="77777777" w:rsidR="007364E8" w:rsidRPr="00CA4AA5" w:rsidRDefault="007364E8" w:rsidP="007364E8">
      <w:pPr>
        <w:pStyle w:val="Akapitzlist"/>
        <w:numPr>
          <w:ilvl w:val="0"/>
          <w:numId w:val="18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CA4AA5">
        <w:rPr>
          <w:rFonts w:ascii="Times New Roman" w:hAnsi="Times New Roman" w:cs="Times New Roman"/>
          <w:b/>
          <w:bCs/>
        </w:rPr>
        <w:t>Obrzęki:</w:t>
      </w:r>
    </w:p>
    <w:p w14:paraId="3F39C6D8" w14:textId="77777777" w:rsidR="007364E8" w:rsidRPr="00CA4AA5" w:rsidRDefault="007364E8" w:rsidP="007364E8">
      <w:pPr>
        <w:pStyle w:val="Akapitzlist"/>
        <w:numPr>
          <w:ilvl w:val="0"/>
          <w:numId w:val="19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Definicja i ogólne patomechanizmy powstawania i ograniczania obrzęków</w:t>
      </w:r>
    </w:p>
    <w:p w14:paraId="268E1A3F" w14:textId="77777777" w:rsidR="007364E8" w:rsidRPr="00CA4AA5" w:rsidRDefault="007364E8" w:rsidP="007364E8">
      <w:pPr>
        <w:pStyle w:val="NormalnyWeb"/>
        <w:numPr>
          <w:ilvl w:val="0"/>
          <w:numId w:val="19"/>
        </w:numPr>
        <w:spacing w:after="0" w:afterAutospacing="0" w:line="276" w:lineRule="auto"/>
        <w:ind w:left="357" w:hanging="357"/>
        <w:jc w:val="both"/>
        <w:rPr>
          <w:sz w:val="22"/>
          <w:szCs w:val="22"/>
        </w:rPr>
      </w:pPr>
      <w:r w:rsidRPr="00CA4AA5">
        <w:rPr>
          <w:sz w:val="22"/>
          <w:szCs w:val="22"/>
        </w:rPr>
        <w:t xml:space="preserve">Patogeneza obrzęków różnego pochodzenia: obrzęki związane z chorobami </w:t>
      </w:r>
      <w:proofErr w:type="spellStart"/>
      <w:r w:rsidRPr="00CA4AA5">
        <w:rPr>
          <w:sz w:val="22"/>
          <w:szCs w:val="22"/>
        </w:rPr>
        <w:t>endokrynnymi</w:t>
      </w:r>
      <w:proofErr w:type="spellEnd"/>
      <w:r w:rsidRPr="00CA4AA5">
        <w:rPr>
          <w:sz w:val="22"/>
          <w:szCs w:val="22"/>
        </w:rPr>
        <w:t xml:space="preserve">, obrzęki estrogenowe i ciążowe, obrzęki miejscowe (zapalne, limfatyczne, żylne) </w:t>
      </w:r>
    </w:p>
    <w:p w14:paraId="32F17F54" w14:textId="77777777" w:rsidR="00185D70" w:rsidRPr="00CA4AA5" w:rsidRDefault="00185D70" w:rsidP="005318E0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75AE8FC1" w14:textId="0A0068A3" w:rsidR="00C97D00" w:rsidRDefault="00C97D00" w:rsidP="005318E0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A4AA5">
        <w:rPr>
          <w:rFonts w:ascii="Times New Roman" w:hAnsi="Times New Roman" w:cs="Times New Roman"/>
          <w:b/>
          <w:u w:val="single"/>
        </w:rPr>
        <w:t xml:space="preserve">ĆWICZENIE NR 7 – </w:t>
      </w:r>
      <w:r w:rsidR="002D7C91">
        <w:rPr>
          <w:rFonts w:ascii="Times New Roman" w:hAnsi="Times New Roman" w:cs="Times New Roman"/>
          <w:b/>
          <w:u w:val="single"/>
        </w:rPr>
        <w:t>21-22</w:t>
      </w:r>
      <w:r w:rsidRPr="00CA4AA5">
        <w:rPr>
          <w:rFonts w:ascii="Times New Roman" w:hAnsi="Times New Roman" w:cs="Times New Roman"/>
          <w:b/>
          <w:u w:val="single"/>
        </w:rPr>
        <w:t>.</w:t>
      </w:r>
      <w:r w:rsidR="007A42C8" w:rsidRPr="00CA4AA5">
        <w:rPr>
          <w:rFonts w:ascii="Times New Roman" w:hAnsi="Times New Roman" w:cs="Times New Roman"/>
          <w:b/>
          <w:u w:val="single"/>
        </w:rPr>
        <w:t xml:space="preserve"> </w:t>
      </w:r>
      <w:r w:rsidRPr="00CA4AA5">
        <w:rPr>
          <w:rFonts w:ascii="Times New Roman" w:hAnsi="Times New Roman" w:cs="Times New Roman"/>
          <w:b/>
          <w:u w:val="single"/>
        </w:rPr>
        <w:t>XI.</w:t>
      </w:r>
      <w:r w:rsidR="007A42C8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2D7C91">
        <w:rPr>
          <w:rFonts w:ascii="Times New Roman" w:hAnsi="Times New Roman" w:cs="Times New Roman"/>
          <w:b/>
          <w:u w:val="single"/>
        </w:rPr>
        <w:t>2022</w:t>
      </w:r>
    </w:p>
    <w:p w14:paraId="12A496CF" w14:textId="77777777" w:rsidR="003D24C3" w:rsidRPr="00CA4AA5" w:rsidRDefault="003D24C3" w:rsidP="003D24C3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4AA5">
        <w:rPr>
          <w:b/>
          <w:bCs/>
          <w:sz w:val="22"/>
          <w:szCs w:val="22"/>
        </w:rPr>
        <w:t>Objawy ze strony przewodu pokarmowego:</w:t>
      </w:r>
    </w:p>
    <w:p w14:paraId="4F3A4A15" w14:textId="77777777" w:rsidR="003D24C3" w:rsidRPr="00CA4AA5" w:rsidRDefault="003D24C3" w:rsidP="003D24C3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4AA5">
        <w:rPr>
          <w:b/>
          <w:bCs/>
          <w:sz w:val="22"/>
          <w:szCs w:val="22"/>
        </w:rPr>
        <w:t>Nudności i wymioty</w:t>
      </w:r>
      <w:r w:rsidRPr="00CA4AA5">
        <w:rPr>
          <w:sz w:val="22"/>
          <w:szCs w:val="22"/>
        </w:rPr>
        <w:t xml:space="preserve"> – definicje, przyczyny, mechanizm odruchu wymiotnego, skutki/powikłania - </w:t>
      </w:r>
      <w:r w:rsidRPr="00CA4AA5">
        <w:rPr>
          <w:b/>
          <w:bCs/>
          <w:sz w:val="22"/>
          <w:szCs w:val="22"/>
        </w:rPr>
        <w:t>niepowściągliwe wymioty ciężarnych</w:t>
      </w:r>
    </w:p>
    <w:p w14:paraId="0A38DB07" w14:textId="77777777" w:rsidR="003D24C3" w:rsidRPr="00CA4AA5" w:rsidRDefault="003D24C3" w:rsidP="003D24C3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4AA5">
        <w:rPr>
          <w:b/>
          <w:bCs/>
          <w:sz w:val="22"/>
          <w:szCs w:val="22"/>
        </w:rPr>
        <w:t>Dysfagia i </w:t>
      </w:r>
      <w:proofErr w:type="spellStart"/>
      <w:r w:rsidRPr="00CA4AA5">
        <w:rPr>
          <w:b/>
          <w:bCs/>
          <w:sz w:val="22"/>
          <w:szCs w:val="22"/>
        </w:rPr>
        <w:t>odynofagia</w:t>
      </w:r>
      <w:proofErr w:type="spellEnd"/>
      <w:r w:rsidRPr="00CA4AA5">
        <w:rPr>
          <w:sz w:val="22"/>
          <w:szCs w:val="22"/>
        </w:rPr>
        <w:t xml:space="preserve"> – definicje i przyczyny</w:t>
      </w:r>
    </w:p>
    <w:p w14:paraId="42375563" w14:textId="77777777" w:rsidR="003D24C3" w:rsidRPr="00CA4AA5" w:rsidRDefault="003D24C3" w:rsidP="003D24C3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4AA5">
        <w:rPr>
          <w:b/>
          <w:bCs/>
          <w:sz w:val="22"/>
          <w:szCs w:val="22"/>
        </w:rPr>
        <w:t>Dyspepsja i zgaga</w:t>
      </w:r>
      <w:r w:rsidRPr="00CA4AA5">
        <w:rPr>
          <w:sz w:val="22"/>
          <w:szCs w:val="22"/>
        </w:rPr>
        <w:t xml:space="preserve"> – definicje i przyczyny</w:t>
      </w:r>
    </w:p>
    <w:p w14:paraId="5FD3997E" w14:textId="77777777" w:rsidR="003D24C3" w:rsidRPr="00CA4AA5" w:rsidRDefault="003D24C3" w:rsidP="003D24C3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CA4AA5">
        <w:rPr>
          <w:b/>
          <w:bCs/>
          <w:sz w:val="22"/>
          <w:szCs w:val="22"/>
        </w:rPr>
        <w:t xml:space="preserve">Biegunka: </w:t>
      </w:r>
      <w:r w:rsidRPr="00CA4AA5">
        <w:rPr>
          <w:sz w:val="22"/>
          <w:szCs w:val="22"/>
        </w:rPr>
        <w:t>definicja</w:t>
      </w:r>
      <w:r w:rsidRPr="00CA4AA5">
        <w:rPr>
          <w:b/>
          <w:bCs/>
          <w:sz w:val="22"/>
          <w:szCs w:val="22"/>
        </w:rPr>
        <w:t xml:space="preserve">, </w:t>
      </w:r>
      <w:r w:rsidRPr="00CA4AA5">
        <w:rPr>
          <w:sz w:val="22"/>
          <w:szCs w:val="22"/>
        </w:rPr>
        <w:t>podział ze względu na czas trwania (biegunka ostra i przewlekła),</w:t>
      </w:r>
      <w:r w:rsidRPr="00CA4AA5">
        <w:rPr>
          <w:b/>
          <w:bCs/>
          <w:sz w:val="22"/>
          <w:szCs w:val="22"/>
        </w:rPr>
        <w:t xml:space="preserve"> </w:t>
      </w:r>
      <w:r w:rsidRPr="00CA4AA5">
        <w:rPr>
          <w:sz w:val="22"/>
          <w:szCs w:val="22"/>
        </w:rPr>
        <w:t>podział ze względu na patogenezę (biegunka osmotyczna, wydzielnicza/</w:t>
      </w:r>
      <w:proofErr w:type="spellStart"/>
      <w:r w:rsidRPr="00CA4AA5">
        <w:rPr>
          <w:sz w:val="22"/>
          <w:szCs w:val="22"/>
        </w:rPr>
        <w:t>sekrecyjna</w:t>
      </w:r>
      <w:proofErr w:type="spellEnd"/>
      <w:r w:rsidRPr="00CA4AA5">
        <w:rPr>
          <w:sz w:val="22"/>
          <w:szCs w:val="22"/>
        </w:rPr>
        <w:t>, motoryczna, wysiękowa/zapalna) - definicje i przyczyny</w:t>
      </w:r>
      <w:r w:rsidRPr="00CA4AA5">
        <w:rPr>
          <w:b/>
          <w:bCs/>
          <w:sz w:val="22"/>
          <w:szCs w:val="22"/>
        </w:rPr>
        <w:t xml:space="preserve">, </w:t>
      </w:r>
      <w:r w:rsidRPr="00CA4AA5">
        <w:rPr>
          <w:sz w:val="22"/>
          <w:szCs w:val="22"/>
        </w:rPr>
        <w:t>skutki/powikłania</w:t>
      </w:r>
    </w:p>
    <w:p w14:paraId="53B47181" w14:textId="77777777" w:rsidR="003D24C3" w:rsidRPr="00CA4AA5" w:rsidRDefault="003D24C3" w:rsidP="003D24C3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CA4AA5">
        <w:rPr>
          <w:b/>
          <w:bCs/>
          <w:sz w:val="22"/>
          <w:szCs w:val="22"/>
        </w:rPr>
        <w:t>Zaparcie</w:t>
      </w:r>
      <w:r w:rsidRPr="00CA4AA5">
        <w:rPr>
          <w:sz w:val="22"/>
          <w:szCs w:val="22"/>
        </w:rPr>
        <w:t xml:space="preserve"> – definicja, przyczyny, rodzaje zaparć i ich patomechanizm, skutki/powikłania </w:t>
      </w:r>
    </w:p>
    <w:p w14:paraId="4C734FEF" w14:textId="77777777" w:rsidR="003D24C3" w:rsidRPr="00CA4AA5" w:rsidRDefault="003D24C3" w:rsidP="003D24C3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4AA5">
        <w:rPr>
          <w:b/>
          <w:bCs/>
          <w:sz w:val="22"/>
          <w:szCs w:val="22"/>
        </w:rPr>
        <w:t xml:space="preserve">Żółtaczki i </w:t>
      </w:r>
      <w:proofErr w:type="spellStart"/>
      <w:r w:rsidRPr="00CA4AA5">
        <w:rPr>
          <w:b/>
          <w:bCs/>
          <w:sz w:val="22"/>
          <w:szCs w:val="22"/>
        </w:rPr>
        <w:t>cholestaza</w:t>
      </w:r>
      <w:proofErr w:type="spellEnd"/>
      <w:r w:rsidRPr="00CA4AA5">
        <w:rPr>
          <w:b/>
          <w:bCs/>
          <w:sz w:val="22"/>
          <w:szCs w:val="22"/>
        </w:rPr>
        <w:t>:</w:t>
      </w:r>
      <w:r w:rsidRPr="00CA4AA5">
        <w:rPr>
          <w:sz w:val="22"/>
          <w:szCs w:val="22"/>
        </w:rPr>
        <w:t xml:space="preserve"> metabolizm bilirubiny, definicja hiperbilirubinemii i żółtaczki, żółtaczki </w:t>
      </w:r>
      <w:proofErr w:type="spellStart"/>
      <w:r w:rsidRPr="00CA4AA5">
        <w:rPr>
          <w:sz w:val="22"/>
          <w:szCs w:val="22"/>
        </w:rPr>
        <w:t>przedwątrobowe</w:t>
      </w:r>
      <w:proofErr w:type="spellEnd"/>
      <w:r w:rsidRPr="00CA4AA5">
        <w:rPr>
          <w:sz w:val="22"/>
          <w:szCs w:val="22"/>
        </w:rPr>
        <w:t>, wątrobowe i </w:t>
      </w:r>
      <w:proofErr w:type="spellStart"/>
      <w:r w:rsidRPr="00CA4AA5">
        <w:rPr>
          <w:sz w:val="22"/>
          <w:szCs w:val="22"/>
        </w:rPr>
        <w:t>zawątrobowe</w:t>
      </w:r>
      <w:proofErr w:type="spellEnd"/>
      <w:r w:rsidRPr="00CA4AA5">
        <w:rPr>
          <w:sz w:val="22"/>
          <w:szCs w:val="22"/>
        </w:rPr>
        <w:t xml:space="preserve"> – przyczyny i cechy diagnostyczne, żółtaczka fizjologiczna noworodków, </w:t>
      </w:r>
      <w:proofErr w:type="spellStart"/>
      <w:r w:rsidRPr="00CA4AA5">
        <w:rPr>
          <w:sz w:val="22"/>
          <w:szCs w:val="22"/>
        </w:rPr>
        <w:t>cholestaza</w:t>
      </w:r>
      <w:proofErr w:type="spellEnd"/>
      <w:r w:rsidRPr="00CA4AA5">
        <w:rPr>
          <w:sz w:val="22"/>
          <w:szCs w:val="22"/>
        </w:rPr>
        <w:t xml:space="preserve"> – definicja, podział, przyczyny i skutki – </w:t>
      </w:r>
      <w:proofErr w:type="spellStart"/>
      <w:r w:rsidRPr="00CA4AA5">
        <w:rPr>
          <w:b/>
          <w:bCs/>
          <w:sz w:val="22"/>
          <w:szCs w:val="22"/>
        </w:rPr>
        <w:t>cholestaza</w:t>
      </w:r>
      <w:proofErr w:type="spellEnd"/>
      <w:r w:rsidRPr="00CA4AA5">
        <w:rPr>
          <w:b/>
          <w:bCs/>
          <w:sz w:val="22"/>
          <w:szCs w:val="22"/>
        </w:rPr>
        <w:t xml:space="preserve"> ciążowa</w:t>
      </w:r>
    </w:p>
    <w:p w14:paraId="7ECE5724" w14:textId="77777777" w:rsidR="003D24C3" w:rsidRPr="00CA4AA5" w:rsidRDefault="003D24C3" w:rsidP="003D24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  <w:b/>
          <w:bCs/>
        </w:rPr>
        <w:t>Choroby wątroby:</w:t>
      </w:r>
      <w:r w:rsidRPr="00CA4AA5">
        <w:rPr>
          <w:rFonts w:ascii="Times New Roman" w:hAnsi="Times New Roman" w:cs="Times New Roman"/>
        </w:rPr>
        <w:t xml:space="preserve"> przyczyny, patogeneza, postacie, objawy, skutki/powikłania</w:t>
      </w:r>
    </w:p>
    <w:p w14:paraId="4CF1FFAE" w14:textId="77777777" w:rsidR="003D24C3" w:rsidRPr="00CA4AA5" w:rsidRDefault="003D24C3" w:rsidP="003D24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Wirusowe zapalenie wątroby (WZW) typu A, B, C</w:t>
      </w:r>
    </w:p>
    <w:p w14:paraId="32FC055C" w14:textId="3794E8E6" w:rsidR="00FE7014" w:rsidRPr="003D24C3" w:rsidRDefault="003D24C3" w:rsidP="005318E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Stłuszczenie wątroby, marskość wątroby</w:t>
      </w:r>
    </w:p>
    <w:p w14:paraId="3BCC5395" w14:textId="77777777" w:rsidR="002D186A" w:rsidRPr="00CA4AA5" w:rsidRDefault="002D186A" w:rsidP="005318E0">
      <w:pPr>
        <w:jc w:val="both"/>
        <w:rPr>
          <w:rFonts w:ascii="Times New Roman" w:hAnsi="Times New Roman" w:cs="Times New Roman"/>
        </w:rPr>
      </w:pPr>
    </w:p>
    <w:p w14:paraId="168F8C6F" w14:textId="1FCC6566" w:rsidR="00F10B79" w:rsidRDefault="00F10B79" w:rsidP="005318E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CA4AA5">
        <w:rPr>
          <w:rFonts w:ascii="Times New Roman" w:hAnsi="Times New Roman" w:cs="Times New Roman"/>
          <w:b/>
          <w:u w:val="single"/>
        </w:rPr>
        <w:t xml:space="preserve">ĆWICZENIE NR 8 – </w:t>
      </w:r>
      <w:r w:rsidR="002D7C91">
        <w:rPr>
          <w:rFonts w:ascii="Times New Roman" w:hAnsi="Times New Roman" w:cs="Times New Roman"/>
          <w:b/>
          <w:u w:val="single"/>
        </w:rPr>
        <w:t>28-29</w:t>
      </w:r>
      <w:r w:rsidR="007A42C8" w:rsidRPr="00CA4AA5">
        <w:rPr>
          <w:rFonts w:ascii="Times New Roman" w:hAnsi="Times New Roman" w:cs="Times New Roman"/>
          <w:b/>
          <w:u w:val="single"/>
        </w:rPr>
        <w:t xml:space="preserve">. </w:t>
      </w:r>
      <w:r w:rsidRPr="00CA4AA5">
        <w:rPr>
          <w:rFonts w:ascii="Times New Roman" w:hAnsi="Times New Roman" w:cs="Times New Roman"/>
          <w:b/>
          <w:u w:val="single"/>
        </w:rPr>
        <w:t>XI.</w:t>
      </w:r>
      <w:r w:rsidR="007A42C8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2D7C91">
        <w:rPr>
          <w:rFonts w:ascii="Times New Roman" w:hAnsi="Times New Roman" w:cs="Times New Roman"/>
          <w:b/>
          <w:u w:val="single"/>
        </w:rPr>
        <w:t>2022</w:t>
      </w:r>
    </w:p>
    <w:p w14:paraId="65C9DD4C" w14:textId="77777777" w:rsidR="003D24C3" w:rsidRPr="00CA4AA5" w:rsidRDefault="003D24C3" w:rsidP="003D24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4AA5">
        <w:rPr>
          <w:rFonts w:ascii="Times New Roman" w:hAnsi="Times New Roman" w:cs="Times New Roman"/>
          <w:b/>
        </w:rPr>
        <w:t>Patologia nowotworów</w:t>
      </w:r>
    </w:p>
    <w:p w14:paraId="0C3BA433" w14:textId="77777777" w:rsidR="003D24C3" w:rsidRPr="00CA4AA5" w:rsidRDefault="003D24C3" w:rsidP="003D24C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CA4AA5">
        <w:rPr>
          <w:b/>
          <w:bCs/>
          <w:sz w:val="22"/>
          <w:szCs w:val="22"/>
        </w:rPr>
        <w:t>Przypomnienie wiadomości z fizjologii komórki:</w:t>
      </w:r>
      <w:r w:rsidRPr="00CA4AA5">
        <w:rPr>
          <w:sz w:val="22"/>
          <w:szCs w:val="22"/>
        </w:rPr>
        <w:t xml:space="preserve"> cykl komórkowy – etapy cyklu i ich charakterystyka, rodzaje śmierci komórek: apoptoza i nekroza oraz omówienie procesów adaptacyjnych komórek: hipertrofia, hiperplazja, atrofia, metaplazja</w:t>
      </w:r>
    </w:p>
    <w:p w14:paraId="6716E81B" w14:textId="77777777" w:rsidR="003D24C3" w:rsidRPr="00CA4AA5" w:rsidRDefault="003D24C3" w:rsidP="003D24C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360"/>
        <w:jc w:val="both"/>
        <w:rPr>
          <w:b/>
          <w:bCs/>
          <w:sz w:val="22"/>
          <w:szCs w:val="22"/>
        </w:rPr>
      </w:pPr>
      <w:r w:rsidRPr="00CA4AA5">
        <w:rPr>
          <w:b/>
          <w:bCs/>
          <w:sz w:val="22"/>
          <w:szCs w:val="22"/>
        </w:rPr>
        <w:t>Patogeneza nowotworów:</w:t>
      </w:r>
    </w:p>
    <w:p w14:paraId="74D33AC2" w14:textId="214C79F6" w:rsidR="003D24C3" w:rsidRPr="00CA4AA5" w:rsidRDefault="003D24C3" w:rsidP="003D24C3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CA4AA5">
        <w:rPr>
          <w:sz w:val="22"/>
          <w:szCs w:val="22"/>
        </w:rPr>
        <w:t xml:space="preserve"> Rodzaje genów oraz ich mutacje w nowotworach (fizjologiczne znaczenie, przykłady, znaczenie mutacji w </w:t>
      </w:r>
      <w:proofErr w:type="spellStart"/>
      <w:r w:rsidRPr="00CA4AA5">
        <w:rPr>
          <w:sz w:val="22"/>
          <w:szCs w:val="22"/>
        </w:rPr>
        <w:t>karcynogenezie</w:t>
      </w:r>
      <w:proofErr w:type="spellEnd"/>
      <w:r w:rsidRPr="00CA4AA5">
        <w:rPr>
          <w:sz w:val="22"/>
          <w:szCs w:val="22"/>
        </w:rPr>
        <w:t xml:space="preserve">): </w:t>
      </w:r>
      <w:proofErr w:type="spellStart"/>
      <w:r w:rsidRPr="00CA4AA5">
        <w:rPr>
          <w:sz w:val="22"/>
          <w:szCs w:val="22"/>
        </w:rPr>
        <w:t>protoonkogenów</w:t>
      </w:r>
      <w:proofErr w:type="spellEnd"/>
      <w:r w:rsidRPr="00CA4AA5">
        <w:rPr>
          <w:sz w:val="22"/>
          <w:szCs w:val="22"/>
        </w:rPr>
        <w:t xml:space="preserve"> – onkogenów </w:t>
      </w:r>
      <w:r w:rsidRPr="00CA4AA5">
        <w:rPr>
          <w:sz w:val="22"/>
          <w:szCs w:val="22"/>
          <w:u w:val="single"/>
        </w:rPr>
        <w:t xml:space="preserve">(w tym rola mutacji genu kodującego </w:t>
      </w:r>
      <w:r w:rsidRPr="00CA4AA5">
        <w:rPr>
          <w:sz w:val="22"/>
          <w:szCs w:val="22"/>
          <w:u w:val="single"/>
        </w:rPr>
        <w:lastRenderedPageBreak/>
        <w:t>białko RAS w </w:t>
      </w:r>
      <w:proofErr w:type="spellStart"/>
      <w:r w:rsidRPr="00CA4AA5">
        <w:rPr>
          <w:sz w:val="22"/>
          <w:szCs w:val="22"/>
          <w:u w:val="single"/>
        </w:rPr>
        <w:t>karcynogenezie</w:t>
      </w:r>
      <w:proofErr w:type="spellEnd"/>
      <w:r w:rsidRPr="00CA4AA5">
        <w:rPr>
          <w:sz w:val="22"/>
          <w:szCs w:val="22"/>
          <w:u w:val="single"/>
        </w:rPr>
        <w:t>)</w:t>
      </w:r>
      <w:r w:rsidRPr="00CA4AA5">
        <w:rPr>
          <w:sz w:val="22"/>
          <w:szCs w:val="22"/>
        </w:rPr>
        <w:t xml:space="preserve">, genów </w:t>
      </w:r>
      <w:proofErr w:type="spellStart"/>
      <w:r w:rsidRPr="00CA4AA5">
        <w:rPr>
          <w:sz w:val="22"/>
          <w:szCs w:val="22"/>
        </w:rPr>
        <w:t>supresorowych</w:t>
      </w:r>
      <w:proofErr w:type="spellEnd"/>
      <w:r w:rsidRPr="00CA4AA5">
        <w:rPr>
          <w:sz w:val="22"/>
          <w:szCs w:val="22"/>
        </w:rPr>
        <w:t xml:space="preserve"> </w:t>
      </w:r>
      <w:r w:rsidRPr="00CA4AA5">
        <w:rPr>
          <w:sz w:val="22"/>
          <w:szCs w:val="22"/>
          <w:u w:val="single"/>
        </w:rPr>
        <w:t>(w tym rola mutacji genu kodującego białko p53 w </w:t>
      </w:r>
      <w:proofErr w:type="spellStart"/>
      <w:r w:rsidRPr="00CA4AA5">
        <w:rPr>
          <w:sz w:val="22"/>
          <w:szCs w:val="22"/>
          <w:u w:val="single"/>
        </w:rPr>
        <w:t>karcynogenezie</w:t>
      </w:r>
      <w:proofErr w:type="spellEnd"/>
      <w:r w:rsidRPr="00CA4AA5">
        <w:rPr>
          <w:sz w:val="22"/>
          <w:szCs w:val="22"/>
          <w:u w:val="single"/>
        </w:rPr>
        <w:t>)</w:t>
      </w:r>
      <w:r w:rsidRPr="00CA4AA5">
        <w:rPr>
          <w:sz w:val="22"/>
          <w:szCs w:val="22"/>
        </w:rPr>
        <w:t xml:space="preserve"> i genów </w:t>
      </w:r>
      <w:proofErr w:type="spellStart"/>
      <w:r w:rsidRPr="00CA4AA5">
        <w:rPr>
          <w:sz w:val="22"/>
          <w:szCs w:val="22"/>
        </w:rPr>
        <w:t>mutatorowyc</w:t>
      </w:r>
      <w:r w:rsidR="00A9161D">
        <w:rPr>
          <w:sz w:val="22"/>
          <w:szCs w:val="22"/>
        </w:rPr>
        <w:t>h</w:t>
      </w:r>
      <w:proofErr w:type="spellEnd"/>
      <w:r w:rsidRPr="00CA4AA5">
        <w:rPr>
          <w:sz w:val="22"/>
          <w:szCs w:val="22"/>
        </w:rPr>
        <w:t xml:space="preserve"> (gen BRCA-1, BRCA-2)</w:t>
      </w:r>
    </w:p>
    <w:p w14:paraId="66821458" w14:textId="77777777" w:rsidR="003D24C3" w:rsidRPr="00CA4AA5" w:rsidRDefault="003D24C3" w:rsidP="003D24C3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CA4AA5">
        <w:rPr>
          <w:sz w:val="22"/>
          <w:szCs w:val="22"/>
        </w:rPr>
        <w:t>Nowotwory a układ odpornościowy: obrona gospodarza przed nowotworem, wymknięcie się spod kontroli, antygeny nowotworowe</w:t>
      </w:r>
    </w:p>
    <w:p w14:paraId="27535527" w14:textId="77777777" w:rsidR="003D24C3" w:rsidRPr="00CA4AA5" w:rsidRDefault="003D24C3" w:rsidP="003D24C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CA4AA5">
        <w:rPr>
          <w:b/>
          <w:bCs/>
          <w:sz w:val="22"/>
          <w:szCs w:val="22"/>
        </w:rPr>
        <w:t xml:space="preserve">Model </w:t>
      </w:r>
      <w:proofErr w:type="spellStart"/>
      <w:r w:rsidRPr="00CA4AA5">
        <w:rPr>
          <w:b/>
          <w:bCs/>
          <w:sz w:val="22"/>
          <w:szCs w:val="22"/>
        </w:rPr>
        <w:t>karcynogenezy</w:t>
      </w:r>
      <w:proofErr w:type="spellEnd"/>
      <w:r w:rsidRPr="00CA4AA5">
        <w:rPr>
          <w:b/>
          <w:bCs/>
          <w:sz w:val="22"/>
          <w:szCs w:val="22"/>
        </w:rPr>
        <w:t xml:space="preserve"> chemicznej:</w:t>
      </w:r>
      <w:r w:rsidRPr="00CA4AA5">
        <w:rPr>
          <w:sz w:val="22"/>
          <w:szCs w:val="22"/>
        </w:rPr>
        <w:t xml:space="preserve"> etapy </w:t>
      </w:r>
      <w:proofErr w:type="spellStart"/>
      <w:r w:rsidRPr="00CA4AA5">
        <w:rPr>
          <w:sz w:val="22"/>
          <w:szCs w:val="22"/>
        </w:rPr>
        <w:t>karcynogenezy</w:t>
      </w:r>
      <w:proofErr w:type="spellEnd"/>
      <w:r w:rsidRPr="00CA4AA5">
        <w:rPr>
          <w:sz w:val="22"/>
          <w:szCs w:val="22"/>
        </w:rPr>
        <w:t xml:space="preserve"> i ich charakterystyka, pojęcie: karcynogen, </w:t>
      </w:r>
      <w:proofErr w:type="spellStart"/>
      <w:r w:rsidRPr="00CA4AA5">
        <w:rPr>
          <w:sz w:val="22"/>
          <w:szCs w:val="22"/>
        </w:rPr>
        <w:t>prokarcynogen</w:t>
      </w:r>
      <w:proofErr w:type="spellEnd"/>
      <w:r w:rsidRPr="00CA4AA5">
        <w:rPr>
          <w:sz w:val="22"/>
          <w:szCs w:val="22"/>
        </w:rPr>
        <w:t xml:space="preserve">, </w:t>
      </w:r>
      <w:proofErr w:type="spellStart"/>
      <w:r w:rsidRPr="00CA4AA5">
        <w:rPr>
          <w:sz w:val="22"/>
          <w:szCs w:val="22"/>
        </w:rPr>
        <w:t>kokarcynogen</w:t>
      </w:r>
      <w:proofErr w:type="spellEnd"/>
      <w:r w:rsidRPr="00CA4AA5">
        <w:rPr>
          <w:sz w:val="22"/>
          <w:szCs w:val="22"/>
        </w:rPr>
        <w:t xml:space="preserve">, czynniki </w:t>
      </w:r>
      <w:proofErr w:type="spellStart"/>
      <w:r w:rsidRPr="00CA4AA5">
        <w:rPr>
          <w:sz w:val="22"/>
          <w:szCs w:val="22"/>
        </w:rPr>
        <w:t>karcynogenne</w:t>
      </w:r>
      <w:proofErr w:type="spellEnd"/>
      <w:r w:rsidRPr="00CA4AA5">
        <w:rPr>
          <w:sz w:val="22"/>
          <w:szCs w:val="22"/>
        </w:rPr>
        <w:t xml:space="preserve"> (chemiczne, fizyczne, biologiczne), czynniki mające wpływ na powstawanie nowotworów</w:t>
      </w:r>
    </w:p>
    <w:p w14:paraId="42F68333" w14:textId="77777777" w:rsidR="003D24C3" w:rsidRPr="00CA4AA5" w:rsidRDefault="003D24C3" w:rsidP="003D24C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CA4AA5">
        <w:rPr>
          <w:b/>
          <w:bCs/>
          <w:sz w:val="22"/>
          <w:szCs w:val="22"/>
        </w:rPr>
        <w:t>Przerzuty nowotworowe</w:t>
      </w:r>
      <w:r w:rsidRPr="00CA4AA5">
        <w:rPr>
          <w:sz w:val="22"/>
          <w:szCs w:val="22"/>
        </w:rPr>
        <w:t xml:space="preserve"> – definicja, drogi rozsiewu komórek nowotworowych w organizmie, etapy powstawania przerzutu</w:t>
      </w:r>
    </w:p>
    <w:p w14:paraId="061400B1" w14:textId="77777777" w:rsidR="003D24C3" w:rsidRPr="00CA4AA5" w:rsidRDefault="003D24C3" w:rsidP="003D24C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CA4AA5">
        <w:rPr>
          <w:b/>
          <w:bCs/>
          <w:sz w:val="22"/>
          <w:szCs w:val="22"/>
        </w:rPr>
        <w:t>Ogólne informacje dotyczące nowotworów:</w:t>
      </w:r>
      <w:r w:rsidRPr="00CA4AA5">
        <w:rPr>
          <w:sz w:val="22"/>
          <w:szCs w:val="22"/>
        </w:rPr>
        <w:t xml:space="preserve"> cechy komórek nowotworowych, definicja i cechy nowotworu, nowotwory łagodne i złośliwe, podstawy klasyfikacji i nazewnictwa nowotworów, pojęcia: stan </w:t>
      </w:r>
      <w:proofErr w:type="spellStart"/>
      <w:r w:rsidRPr="00CA4AA5">
        <w:rPr>
          <w:sz w:val="22"/>
          <w:szCs w:val="22"/>
        </w:rPr>
        <w:t>przednowowtworowy</w:t>
      </w:r>
      <w:proofErr w:type="spellEnd"/>
      <w:r w:rsidRPr="00CA4AA5">
        <w:rPr>
          <w:sz w:val="22"/>
          <w:szCs w:val="22"/>
        </w:rPr>
        <w:t xml:space="preserve">, rak in situ, </w:t>
      </w:r>
      <w:proofErr w:type="spellStart"/>
      <w:r w:rsidRPr="00CA4AA5">
        <w:rPr>
          <w:sz w:val="22"/>
          <w:szCs w:val="22"/>
        </w:rPr>
        <w:t>przeinwazyjny</w:t>
      </w:r>
      <w:proofErr w:type="spellEnd"/>
    </w:p>
    <w:p w14:paraId="52978FDB" w14:textId="1E1FDE16" w:rsidR="003D24C3" w:rsidRPr="001420DB" w:rsidRDefault="003D24C3" w:rsidP="001420DB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CA4AA5">
        <w:rPr>
          <w:b/>
          <w:bCs/>
          <w:sz w:val="22"/>
          <w:szCs w:val="22"/>
        </w:rPr>
        <w:t>Objawy nowotworów:</w:t>
      </w:r>
      <w:r w:rsidRPr="00CA4AA5">
        <w:rPr>
          <w:sz w:val="22"/>
          <w:szCs w:val="22"/>
        </w:rPr>
        <w:t xml:space="preserve"> objawy ogólne i miejscowe nowotworów, kacheksja nowotworowa, zespoły </w:t>
      </w:r>
      <w:proofErr w:type="spellStart"/>
      <w:r w:rsidRPr="00CA4AA5">
        <w:rPr>
          <w:sz w:val="22"/>
          <w:szCs w:val="22"/>
        </w:rPr>
        <w:t>paraneoplastyczne</w:t>
      </w:r>
      <w:proofErr w:type="spellEnd"/>
      <w:r w:rsidRPr="00CA4AA5">
        <w:rPr>
          <w:sz w:val="22"/>
          <w:szCs w:val="22"/>
        </w:rPr>
        <w:t xml:space="preserve"> – definicja, podział i przykłady, objawy związane z leczeniem nowotworu</w:t>
      </w:r>
    </w:p>
    <w:p w14:paraId="1B769E7A" w14:textId="3BB76112" w:rsidR="003D24C3" w:rsidRPr="00CA4AA5" w:rsidRDefault="003D24C3" w:rsidP="003D24C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CA4AA5">
        <w:rPr>
          <w:b/>
          <w:bCs/>
          <w:sz w:val="22"/>
          <w:szCs w:val="22"/>
        </w:rPr>
        <w:t>Markery nowotworowe –</w:t>
      </w:r>
      <w:r w:rsidRPr="00CA4AA5">
        <w:rPr>
          <w:sz w:val="22"/>
          <w:szCs w:val="22"/>
        </w:rPr>
        <w:t xml:space="preserve"> definicja, znaczenie w onkologii ginekologicznej, przykłady markerów wykorzystywanych w </w:t>
      </w:r>
      <w:r w:rsidR="00A9161D">
        <w:rPr>
          <w:sz w:val="22"/>
          <w:szCs w:val="22"/>
        </w:rPr>
        <w:t>d</w:t>
      </w:r>
      <w:r w:rsidRPr="00CA4AA5">
        <w:rPr>
          <w:sz w:val="22"/>
          <w:szCs w:val="22"/>
        </w:rPr>
        <w:t>iagnostyce raka sutka, szyjki macicy, jajnika</w:t>
      </w:r>
    </w:p>
    <w:p w14:paraId="4EC458FB" w14:textId="77777777" w:rsidR="000F70F0" w:rsidRPr="00CA4AA5" w:rsidRDefault="000F70F0" w:rsidP="005318E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369A52" w14:textId="77777777" w:rsidR="003527F2" w:rsidRPr="00CA4AA5" w:rsidRDefault="003527F2" w:rsidP="005318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4F2D5A" w14:textId="207C978C" w:rsidR="003D24C3" w:rsidRDefault="0025223A" w:rsidP="001420DB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A4AA5">
        <w:rPr>
          <w:rFonts w:ascii="Times New Roman" w:hAnsi="Times New Roman" w:cs="Times New Roman"/>
          <w:b/>
          <w:u w:val="single"/>
        </w:rPr>
        <w:t xml:space="preserve">ĆWICZENIE NR </w:t>
      </w:r>
      <w:r w:rsidR="007A42C8" w:rsidRPr="00CA4AA5">
        <w:rPr>
          <w:rFonts w:ascii="Times New Roman" w:hAnsi="Times New Roman" w:cs="Times New Roman"/>
          <w:b/>
          <w:u w:val="single"/>
        </w:rPr>
        <w:t>9</w:t>
      </w:r>
      <w:r w:rsidR="00C97D00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7A42C8" w:rsidRPr="00CA4AA5">
        <w:rPr>
          <w:rFonts w:ascii="Times New Roman" w:hAnsi="Times New Roman" w:cs="Times New Roman"/>
          <w:b/>
          <w:u w:val="single"/>
        </w:rPr>
        <w:t>–</w:t>
      </w:r>
      <w:r w:rsidR="00617F45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2D7C91">
        <w:rPr>
          <w:rFonts w:ascii="Times New Roman" w:hAnsi="Times New Roman" w:cs="Times New Roman"/>
          <w:b/>
          <w:u w:val="single"/>
        </w:rPr>
        <w:t>5-6.</w:t>
      </w:r>
      <w:r w:rsidR="007A42C8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C97D00" w:rsidRPr="00CA4AA5">
        <w:rPr>
          <w:rFonts w:ascii="Times New Roman" w:hAnsi="Times New Roman" w:cs="Times New Roman"/>
          <w:b/>
          <w:u w:val="single"/>
        </w:rPr>
        <w:t>XII.</w:t>
      </w:r>
      <w:r w:rsidR="007A42C8" w:rsidRPr="00CA4AA5">
        <w:rPr>
          <w:rFonts w:ascii="Times New Roman" w:hAnsi="Times New Roman" w:cs="Times New Roman"/>
          <w:b/>
          <w:u w:val="single"/>
        </w:rPr>
        <w:t xml:space="preserve"> </w:t>
      </w:r>
      <w:r w:rsidR="002D7C91">
        <w:rPr>
          <w:rFonts w:ascii="Times New Roman" w:hAnsi="Times New Roman" w:cs="Times New Roman"/>
          <w:b/>
          <w:u w:val="single"/>
        </w:rPr>
        <w:t>2022</w:t>
      </w:r>
    </w:p>
    <w:p w14:paraId="448BB395" w14:textId="77777777" w:rsidR="003D24C3" w:rsidRPr="00CA4AA5" w:rsidRDefault="003D24C3" w:rsidP="003D24C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  <w:b/>
        </w:rPr>
        <w:t>Patologia gruczołu sutkowego:</w:t>
      </w:r>
      <w:r w:rsidRPr="00CA4AA5">
        <w:rPr>
          <w:rFonts w:ascii="Times New Roman" w:hAnsi="Times New Roman" w:cs="Times New Roman"/>
        </w:rPr>
        <w:t xml:space="preserve"> </w:t>
      </w:r>
    </w:p>
    <w:p w14:paraId="3E752575" w14:textId="77777777" w:rsidR="003D24C3" w:rsidRPr="00CA4AA5" w:rsidRDefault="003D24C3" w:rsidP="003D24C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Dysplazja torbielowato-włóknista sutka - przyczyny, patomechanizm zmian, objawy, konsekwencje</w:t>
      </w:r>
    </w:p>
    <w:p w14:paraId="2F2ADA8A" w14:textId="77777777" w:rsidR="003D24C3" w:rsidRPr="00CA4AA5" w:rsidRDefault="003D24C3" w:rsidP="003D24C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Nowotwory sutka – czynniki ryzyka (pewne i prawdopodobne), rodzaje, lokalizacja, typy histologiczne, stopnie zaawansowania, objawy</w:t>
      </w:r>
    </w:p>
    <w:p w14:paraId="1A0E9C3A" w14:textId="77777777" w:rsidR="003D24C3" w:rsidRPr="00CA4AA5" w:rsidRDefault="003D24C3" w:rsidP="003D24C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 xml:space="preserve">Zapalenia gruczołu sutkowego (połogowe, </w:t>
      </w:r>
      <w:proofErr w:type="spellStart"/>
      <w:r w:rsidRPr="00CA4AA5">
        <w:rPr>
          <w:rFonts w:ascii="Times New Roman" w:hAnsi="Times New Roman" w:cs="Times New Roman"/>
        </w:rPr>
        <w:t>pozapołogowe</w:t>
      </w:r>
      <w:proofErr w:type="spellEnd"/>
      <w:r w:rsidRPr="00CA4AA5">
        <w:rPr>
          <w:rFonts w:ascii="Times New Roman" w:hAnsi="Times New Roman" w:cs="Times New Roman"/>
        </w:rPr>
        <w:t>) – przyczyny, patomechanizm, objawy</w:t>
      </w:r>
    </w:p>
    <w:p w14:paraId="3D8C2A79" w14:textId="77777777" w:rsidR="003D24C3" w:rsidRPr="00CA4AA5" w:rsidRDefault="003D24C3" w:rsidP="003D24C3">
      <w:pPr>
        <w:pStyle w:val="Akapitzlist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Ginekomastia</w:t>
      </w:r>
    </w:p>
    <w:p w14:paraId="45462FC9" w14:textId="77777777" w:rsidR="003D24C3" w:rsidRPr="00CA4AA5" w:rsidRDefault="003D24C3" w:rsidP="003D24C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</w:rPr>
      </w:pPr>
      <w:r w:rsidRPr="00CA4AA5">
        <w:rPr>
          <w:rFonts w:ascii="Times New Roman" w:hAnsi="Times New Roman" w:cs="Times New Roman"/>
          <w:b/>
        </w:rPr>
        <w:t>Patologia jajników i jajowodów:</w:t>
      </w:r>
    </w:p>
    <w:p w14:paraId="328B1F8E" w14:textId="77777777" w:rsidR="00A9161D" w:rsidRPr="00A9161D" w:rsidRDefault="00A9161D" w:rsidP="00A9161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A9161D">
        <w:rPr>
          <w:rFonts w:ascii="Times New Roman" w:hAnsi="Times New Roman"/>
        </w:rPr>
        <w:t>Zaburzenia dojrzewania płciowego: przedwczesne i opóźnione dojrzewanie</w:t>
      </w:r>
    </w:p>
    <w:p w14:paraId="1E464EC6" w14:textId="77777777" w:rsidR="00A9161D" w:rsidRPr="00A9161D" w:rsidRDefault="00A9161D" w:rsidP="00A9161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9161D">
        <w:rPr>
          <w:rFonts w:ascii="Times New Roman" w:hAnsi="Times New Roman" w:cs="Times New Roman"/>
        </w:rPr>
        <w:t>Zaburzenia miesiączkowania</w:t>
      </w:r>
      <w:r w:rsidRPr="00A9161D">
        <w:rPr>
          <w:rFonts w:ascii="Times New Roman" w:hAnsi="Times New Roman"/>
        </w:rPr>
        <w:t>: pierwotny i wtórny brak miesiączki</w:t>
      </w:r>
    </w:p>
    <w:p w14:paraId="1F5F547E" w14:textId="77777777" w:rsidR="003D24C3" w:rsidRPr="00CA4AA5" w:rsidRDefault="003D24C3" w:rsidP="003D24C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Agenezja/dysgenezja jajników (czysta dysgenezja, mieszana dysgenezja, zespół Turnera), hipoplazja jajników</w:t>
      </w:r>
    </w:p>
    <w:p w14:paraId="27393AAB" w14:textId="77777777" w:rsidR="003D24C3" w:rsidRPr="00CA4AA5" w:rsidRDefault="003D24C3" w:rsidP="003D24C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Zapalenia przydatków – czynniki ryzyka, objawy, skutki</w:t>
      </w:r>
    </w:p>
    <w:p w14:paraId="598C843E" w14:textId="77777777" w:rsidR="003D24C3" w:rsidRPr="00CA4AA5" w:rsidRDefault="003D24C3" w:rsidP="003D24C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 xml:space="preserve">Charakterystyka zmian </w:t>
      </w:r>
      <w:proofErr w:type="spellStart"/>
      <w:r w:rsidRPr="00CA4AA5">
        <w:rPr>
          <w:rFonts w:ascii="Times New Roman" w:hAnsi="Times New Roman" w:cs="Times New Roman"/>
        </w:rPr>
        <w:t>nowotworopochodnych</w:t>
      </w:r>
      <w:proofErr w:type="spellEnd"/>
      <w:r w:rsidRPr="00CA4AA5">
        <w:rPr>
          <w:rFonts w:ascii="Times New Roman" w:hAnsi="Times New Roman" w:cs="Times New Roman"/>
        </w:rPr>
        <w:t xml:space="preserve"> jajnika - torbiele jajnika (pęcherzykowa, </w:t>
      </w:r>
      <w:proofErr w:type="spellStart"/>
      <w:r w:rsidRPr="00CA4AA5">
        <w:rPr>
          <w:rFonts w:ascii="Times New Roman" w:hAnsi="Times New Roman" w:cs="Times New Roman"/>
        </w:rPr>
        <w:t>lutealna</w:t>
      </w:r>
      <w:proofErr w:type="spellEnd"/>
      <w:r w:rsidRPr="00CA4AA5">
        <w:rPr>
          <w:rFonts w:ascii="Times New Roman" w:hAnsi="Times New Roman" w:cs="Times New Roman"/>
        </w:rPr>
        <w:t xml:space="preserve">, </w:t>
      </w:r>
      <w:proofErr w:type="spellStart"/>
      <w:r w:rsidRPr="00CA4AA5">
        <w:rPr>
          <w:rFonts w:ascii="Times New Roman" w:hAnsi="Times New Roman" w:cs="Times New Roman"/>
        </w:rPr>
        <w:t>endometrialna</w:t>
      </w:r>
      <w:proofErr w:type="spellEnd"/>
      <w:r w:rsidRPr="00CA4AA5">
        <w:rPr>
          <w:rFonts w:ascii="Times New Roman" w:hAnsi="Times New Roman" w:cs="Times New Roman"/>
        </w:rPr>
        <w:t xml:space="preserve">, </w:t>
      </w:r>
      <w:proofErr w:type="spellStart"/>
      <w:r w:rsidRPr="00CA4AA5">
        <w:rPr>
          <w:rFonts w:ascii="Times New Roman" w:hAnsi="Times New Roman" w:cs="Times New Roman"/>
        </w:rPr>
        <w:t>dermatoidalna</w:t>
      </w:r>
      <w:proofErr w:type="spellEnd"/>
      <w:r w:rsidRPr="00CA4AA5">
        <w:rPr>
          <w:rFonts w:ascii="Times New Roman" w:hAnsi="Times New Roman" w:cs="Times New Roman"/>
        </w:rPr>
        <w:t xml:space="preserve">, </w:t>
      </w:r>
      <w:proofErr w:type="spellStart"/>
      <w:r w:rsidRPr="00CA4AA5">
        <w:rPr>
          <w:rFonts w:ascii="Times New Roman" w:hAnsi="Times New Roman" w:cs="Times New Roman"/>
        </w:rPr>
        <w:t>tekalutealna</w:t>
      </w:r>
      <w:proofErr w:type="spellEnd"/>
      <w:r w:rsidRPr="00CA4AA5">
        <w:rPr>
          <w:rFonts w:ascii="Times New Roman" w:hAnsi="Times New Roman" w:cs="Times New Roman"/>
        </w:rPr>
        <w:t>)</w:t>
      </w:r>
    </w:p>
    <w:p w14:paraId="7EBA1B5B" w14:textId="77777777" w:rsidR="003D24C3" w:rsidRPr="00CA4AA5" w:rsidRDefault="003D24C3" w:rsidP="003D24C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Rak jajnika – czynniki ryzyka i ochronne, typy, objawy kliniczne, markery nowotworowe</w:t>
      </w:r>
    </w:p>
    <w:p w14:paraId="44B87449" w14:textId="77777777" w:rsidR="003D24C3" w:rsidRPr="00CA4AA5" w:rsidRDefault="003D24C3" w:rsidP="003D24C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PCOS – przyczyny, kryteria rozpoznawcze, objawy kliniczne, skutki</w:t>
      </w:r>
    </w:p>
    <w:p w14:paraId="7351E2AB" w14:textId="77777777" w:rsidR="003D24C3" w:rsidRPr="00CA4AA5" w:rsidRDefault="003D24C3" w:rsidP="003D24C3">
      <w:pPr>
        <w:pStyle w:val="Akapitzlist"/>
        <w:numPr>
          <w:ilvl w:val="0"/>
          <w:numId w:val="9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 xml:space="preserve">Przedwczesne wygaśnięcie czynności jajnika – definicje, przyczyny, typy, objawy skutki; pojęcie rezerwy jajnikowej, hormon </w:t>
      </w:r>
      <w:proofErr w:type="spellStart"/>
      <w:r w:rsidRPr="00CA4AA5">
        <w:rPr>
          <w:rFonts w:ascii="Times New Roman" w:hAnsi="Times New Roman" w:cs="Times New Roman"/>
        </w:rPr>
        <w:t>antymullerowski</w:t>
      </w:r>
      <w:proofErr w:type="spellEnd"/>
    </w:p>
    <w:p w14:paraId="2771A545" w14:textId="77777777" w:rsidR="003D24C3" w:rsidRPr="00CA4AA5" w:rsidRDefault="003D24C3" w:rsidP="003D24C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  <w:b/>
          <w:bCs/>
        </w:rPr>
        <w:t>Patologia macicy</w:t>
      </w:r>
      <w:r w:rsidRPr="00CA4AA5">
        <w:rPr>
          <w:rFonts w:ascii="Times New Roman" w:hAnsi="Times New Roman" w:cs="Times New Roman"/>
        </w:rPr>
        <w:t>:</w:t>
      </w:r>
    </w:p>
    <w:p w14:paraId="4DDE1850" w14:textId="77777777" w:rsidR="003D24C3" w:rsidRPr="00CA4AA5" w:rsidRDefault="003D24C3" w:rsidP="003D24C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proofErr w:type="spellStart"/>
      <w:r w:rsidRPr="00CA4AA5">
        <w:rPr>
          <w:rFonts w:ascii="Times New Roman" w:hAnsi="Times New Roman" w:cs="Times New Roman"/>
        </w:rPr>
        <w:t>Endometrioza</w:t>
      </w:r>
      <w:proofErr w:type="spellEnd"/>
      <w:r w:rsidRPr="00CA4AA5">
        <w:rPr>
          <w:rFonts w:ascii="Times New Roman" w:hAnsi="Times New Roman" w:cs="Times New Roman"/>
        </w:rPr>
        <w:t xml:space="preserve"> – przyczyny, patomechanizm, objawy i powikłania kliniczne</w:t>
      </w:r>
    </w:p>
    <w:p w14:paraId="5C57A381" w14:textId="77777777" w:rsidR="003D24C3" w:rsidRPr="00CA4AA5" w:rsidRDefault="003D24C3" w:rsidP="003D24C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 xml:space="preserve">Mięśniaki macicy – cechy charakterystyczne, aspekt </w:t>
      </w:r>
      <w:proofErr w:type="spellStart"/>
      <w:r w:rsidRPr="00CA4AA5">
        <w:rPr>
          <w:rFonts w:ascii="Times New Roman" w:hAnsi="Times New Roman" w:cs="Times New Roman"/>
        </w:rPr>
        <w:t>nowotworzenia</w:t>
      </w:r>
      <w:proofErr w:type="spellEnd"/>
      <w:r w:rsidRPr="00CA4AA5">
        <w:rPr>
          <w:rFonts w:ascii="Times New Roman" w:hAnsi="Times New Roman" w:cs="Times New Roman"/>
        </w:rPr>
        <w:t xml:space="preserve"> w patomechanizmie powstawania mięśniaków, typy, objawy kliniczne</w:t>
      </w:r>
    </w:p>
    <w:p w14:paraId="29288207" w14:textId="77777777" w:rsidR="003D24C3" w:rsidRPr="00CA4AA5" w:rsidRDefault="003D24C3" w:rsidP="003D24C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Zakażenia HPV – charakterystyka szczepów HPV, czynniki ryzyka zakażenia, objawy zakażenia                      i konsekwencje</w:t>
      </w:r>
    </w:p>
    <w:p w14:paraId="12110B2E" w14:textId="77777777" w:rsidR="003D24C3" w:rsidRPr="00CA4AA5" w:rsidRDefault="003D24C3" w:rsidP="003D24C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 xml:space="preserve">Badanie cytologiczne – klasyfikacja </w:t>
      </w:r>
      <w:proofErr w:type="spellStart"/>
      <w:r w:rsidRPr="00CA4AA5">
        <w:rPr>
          <w:rFonts w:ascii="Times New Roman" w:hAnsi="Times New Roman" w:cs="Times New Roman"/>
        </w:rPr>
        <w:t>Papanicolau</w:t>
      </w:r>
      <w:proofErr w:type="spellEnd"/>
      <w:r w:rsidRPr="00CA4AA5">
        <w:rPr>
          <w:rFonts w:ascii="Times New Roman" w:hAnsi="Times New Roman" w:cs="Times New Roman"/>
        </w:rPr>
        <w:t>, klasyfikacja Bethesda</w:t>
      </w:r>
    </w:p>
    <w:p w14:paraId="32E6A5E0" w14:textId="77777777" w:rsidR="003D24C3" w:rsidRPr="00CA4AA5" w:rsidRDefault="003D24C3" w:rsidP="003D24C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>Rak szyjki macicy – nazewnictwo, zmiany klasyfikacyjne, czynniki ryzyka, objawy kliniczne</w:t>
      </w:r>
    </w:p>
    <w:p w14:paraId="69EAF4FB" w14:textId="1F892BB6" w:rsidR="00FE7014" w:rsidRPr="001420DB" w:rsidRDefault="003D24C3" w:rsidP="001420D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 xml:space="preserve">Rak trzonu macicy: typy, czynniki ryzyka, objawy </w:t>
      </w:r>
    </w:p>
    <w:p w14:paraId="21DF1B7B" w14:textId="77777777" w:rsidR="004467E1" w:rsidRPr="00CA4AA5" w:rsidRDefault="004467E1" w:rsidP="005318E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F37FE87" w14:textId="3AE28399" w:rsidR="008E4FD0" w:rsidRPr="00CA4AA5" w:rsidRDefault="0025223A" w:rsidP="005318E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CA4AA5">
        <w:rPr>
          <w:rFonts w:ascii="Times New Roman" w:hAnsi="Times New Roman" w:cs="Times New Roman"/>
          <w:b/>
          <w:u w:val="single"/>
        </w:rPr>
        <w:t>ĆWICZENIE NR 1</w:t>
      </w:r>
      <w:r w:rsidR="007A42C8" w:rsidRPr="00CA4AA5">
        <w:rPr>
          <w:rFonts w:ascii="Times New Roman" w:hAnsi="Times New Roman" w:cs="Times New Roman"/>
          <w:b/>
          <w:u w:val="single"/>
        </w:rPr>
        <w:t>0</w:t>
      </w:r>
      <w:r w:rsidRPr="00CA4AA5">
        <w:rPr>
          <w:rFonts w:ascii="Times New Roman" w:hAnsi="Times New Roman" w:cs="Times New Roman"/>
          <w:b/>
          <w:u w:val="single"/>
        </w:rPr>
        <w:t xml:space="preserve"> – </w:t>
      </w:r>
      <w:r w:rsidR="002D7C91">
        <w:rPr>
          <w:rFonts w:ascii="Times New Roman" w:hAnsi="Times New Roman" w:cs="Times New Roman"/>
          <w:b/>
          <w:u w:val="single"/>
        </w:rPr>
        <w:t>12-13</w:t>
      </w:r>
      <w:r w:rsidR="007A42C8" w:rsidRPr="00CA4AA5">
        <w:rPr>
          <w:rFonts w:ascii="Times New Roman" w:hAnsi="Times New Roman" w:cs="Times New Roman"/>
          <w:b/>
          <w:u w:val="single"/>
        </w:rPr>
        <w:t>.</w:t>
      </w:r>
      <w:r w:rsidR="00F10B79" w:rsidRPr="00CA4AA5">
        <w:rPr>
          <w:rFonts w:ascii="Times New Roman" w:hAnsi="Times New Roman" w:cs="Times New Roman"/>
          <w:b/>
          <w:u w:val="single"/>
        </w:rPr>
        <w:t xml:space="preserve"> </w:t>
      </w:r>
      <w:r w:rsidRPr="00CA4AA5">
        <w:rPr>
          <w:rFonts w:ascii="Times New Roman" w:hAnsi="Times New Roman" w:cs="Times New Roman"/>
          <w:b/>
          <w:u w:val="single"/>
        </w:rPr>
        <w:t>XII.</w:t>
      </w:r>
      <w:r w:rsidR="002D7C91">
        <w:rPr>
          <w:rFonts w:ascii="Times New Roman" w:hAnsi="Times New Roman" w:cs="Times New Roman"/>
          <w:b/>
          <w:u w:val="single"/>
        </w:rPr>
        <w:t>2022</w:t>
      </w:r>
    </w:p>
    <w:p w14:paraId="17A6B10B" w14:textId="77777777" w:rsidR="003D24C3" w:rsidRPr="00CA4AA5" w:rsidRDefault="003D24C3" w:rsidP="003D24C3">
      <w:pPr>
        <w:pStyle w:val="Akapitzlist"/>
        <w:numPr>
          <w:ilvl w:val="0"/>
          <w:numId w:val="3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</w:rPr>
      </w:pPr>
      <w:r w:rsidRPr="00CA4AA5">
        <w:rPr>
          <w:rFonts w:ascii="Times New Roman" w:hAnsi="Times New Roman" w:cs="Times New Roman"/>
          <w:b/>
        </w:rPr>
        <w:t>Patofizjologia układu czerwonokrwinkowego</w:t>
      </w:r>
    </w:p>
    <w:p w14:paraId="70E2A08D" w14:textId="77777777" w:rsidR="003D24C3" w:rsidRPr="00CA4AA5" w:rsidRDefault="003D24C3" w:rsidP="003D24C3">
      <w:pPr>
        <w:pStyle w:val="Akapitzlist"/>
        <w:numPr>
          <w:ilvl w:val="0"/>
          <w:numId w:val="29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AA5">
        <w:rPr>
          <w:rFonts w:ascii="Times New Roman" w:eastAsia="Times New Roman" w:hAnsi="Times New Roman" w:cs="Times New Roman"/>
          <w:lang w:eastAsia="pl-PL"/>
        </w:rPr>
        <w:lastRenderedPageBreak/>
        <w:t>P</w:t>
      </w:r>
      <w:r w:rsidRPr="00CA4AA5">
        <w:rPr>
          <w:rFonts w:ascii="Times New Roman" w:eastAsia="Times New Roman" w:hAnsi="Times New Roman" w:cs="Times New Roman"/>
          <w:u w:val="single"/>
          <w:lang w:eastAsia="pl-PL"/>
        </w:rPr>
        <w:t>rzypomnienie wiadomości z fizjologii układu czerwonokrwinkowego oraz</w:t>
      </w:r>
      <w:r w:rsidRPr="00CA4A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4AA5">
        <w:rPr>
          <w:rFonts w:ascii="Times New Roman" w:eastAsia="Times New Roman" w:hAnsi="Times New Roman" w:cs="Times New Roman"/>
          <w:u w:val="single"/>
          <w:lang w:eastAsia="pl-PL"/>
        </w:rPr>
        <w:t xml:space="preserve">podstawowe parametry morfologii krwi obwodowej i ich znaczenie </w:t>
      </w:r>
    </w:p>
    <w:p w14:paraId="41362BD9" w14:textId="77777777" w:rsidR="003D24C3" w:rsidRPr="00CA4AA5" w:rsidRDefault="003D24C3" w:rsidP="003D24C3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AA5">
        <w:rPr>
          <w:rFonts w:ascii="Times New Roman" w:eastAsia="Times New Roman" w:hAnsi="Times New Roman" w:cs="Times New Roman"/>
          <w:lang w:eastAsia="pl-PL"/>
        </w:rPr>
        <w:t>Niedokrwistość (anemia) – definicja i ogólne objawy, podział niedokrwistości ze względu na stężenie HB, parametr MCV (mikro-, normo- i </w:t>
      </w:r>
      <w:proofErr w:type="spellStart"/>
      <w:r w:rsidRPr="00CA4AA5">
        <w:rPr>
          <w:rFonts w:ascii="Times New Roman" w:eastAsia="Times New Roman" w:hAnsi="Times New Roman" w:cs="Times New Roman"/>
          <w:lang w:eastAsia="pl-PL"/>
        </w:rPr>
        <w:t>makrocytarne</w:t>
      </w:r>
      <w:proofErr w:type="spellEnd"/>
      <w:r w:rsidRPr="00CA4AA5">
        <w:rPr>
          <w:rFonts w:ascii="Times New Roman" w:eastAsia="Times New Roman" w:hAnsi="Times New Roman" w:cs="Times New Roman"/>
          <w:lang w:eastAsia="pl-PL"/>
        </w:rPr>
        <w:t>) oraz mechanizm powstawania (zaburzenia powstawania krwinek, przyspieszone niszczenie krwinek, utrata krwi)</w:t>
      </w:r>
    </w:p>
    <w:p w14:paraId="563CE997" w14:textId="77777777" w:rsidR="003D24C3" w:rsidRPr="00CA4AA5" w:rsidRDefault="003D24C3" w:rsidP="003D24C3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AA5">
        <w:rPr>
          <w:rFonts w:ascii="Times New Roman" w:eastAsia="Times New Roman" w:hAnsi="Times New Roman" w:cs="Times New Roman"/>
          <w:lang w:eastAsia="pl-PL"/>
        </w:rPr>
        <w:t xml:space="preserve">Niedokrwistości </w:t>
      </w:r>
      <w:proofErr w:type="spellStart"/>
      <w:r w:rsidRPr="00CA4AA5">
        <w:rPr>
          <w:rFonts w:ascii="Times New Roman" w:eastAsia="Times New Roman" w:hAnsi="Times New Roman" w:cs="Times New Roman"/>
          <w:lang w:eastAsia="pl-PL"/>
        </w:rPr>
        <w:t>aplastyczne</w:t>
      </w:r>
      <w:proofErr w:type="spellEnd"/>
      <w:r w:rsidRPr="00CA4AA5">
        <w:rPr>
          <w:rFonts w:ascii="Times New Roman" w:eastAsia="Times New Roman" w:hAnsi="Times New Roman" w:cs="Times New Roman"/>
          <w:lang w:eastAsia="pl-PL"/>
        </w:rPr>
        <w:t xml:space="preserve">, pokrwotoczne, niedokrwistość z niedoboru żelaza, niedokrwistości megaloblastyczne (z niedoboru wit.B12 i kwasu foliowego) niedokrwistości hemolityczne – przyczyny, patogeneza i objawy </w:t>
      </w:r>
    </w:p>
    <w:p w14:paraId="79DA23D0" w14:textId="77777777" w:rsidR="003D24C3" w:rsidRPr="00CA4AA5" w:rsidRDefault="003D24C3" w:rsidP="003D24C3">
      <w:pPr>
        <w:pStyle w:val="Akapitzlist"/>
        <w:numPr>
          <w:ilvl w:val="0"/>
          <w:numId w:val="3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</w:rPr>
      </w:pPr>
      <w:r w:rsidRPr="00CA4AA5">
        <w:rPr>
          <w:rFonts w:ascii="Times New Roman" w:hAnsi="Times New Roman" w:cs="Times New Roman"/>
          <w:b/>
        </w:rPr>
        <w:t xml:space="preserve">Patofizjologia układu </w:t>
      </w:r>
      <w:proofErr w:type="spellStart"/>
      <w:r w:rsidRPr="00CA4AA5">
        <w:rPr>
          <w:rFonts w:ascii="Times New Roman" w:hAnsi="Times New Roman" w:cs="Times New Roman"/>
          <w:b/>
        </w:rPr>
        <w:t>białokrwinkowego</w:t>
      </w:r>
      <w:proofErr w:type="spellEnd"/>
    </w:p>
    <w:p w14:paraId="409CDA39" w14:textId="77777777" w:rsidR="003D24C3" w:rsidRPr="00CA4AA5" w:rsidRDefault="003D24C3" w:rsidP="003D24C3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AA5">
        <w:rPr>
          <w:rFonts w:ascii="Times New Roman" w:eastAsia="Times New Roman" w:hAnsi="Times New Roman" w:cs="Times New Roman"/>
          <w:u w:val="single"/>
          <w:lang w:eastAsia="pl-PL"/>
        </w:rPr>
        <w:t xml:space="preserve">Przypomnienie wiadomości z fizjologii układu </w:t>
      </w:r>
      <w:proofErr w:type="spellStart"/>
      <w:r w:rsidRPr="00CA4AA5">
        <w:rPr>
          <w:rFonts w:ascii="Times New Roman" w:eastAsia="Times New Roman" w:hAnsi="Times New Roman" w:cs="Times New Roman"/>
          <w:u w:val="single"/>
          <w:lang w:eastAsia="pl-PL"/>
        </w:rPr>
        <w:t>białokrwinkowego</w:t>
      </w:r>
      <w:proofErr w:type="spellEnd"/>
      <w:r w:rsidRPr="00CA4AA5">
        <w:rPr>
          <w:rFonts w:ascii="Times New Roman" w:eastAsia="Times New Roman" w:hAnsi="Times New Roman" w:cs="Times New Roman"/>
          <w:u w:val="single"/>
          <w:lang w:eastAsia="pl-PL"/>
        </w:rPr>
        <w:t xml:space="preserve"> oraz podstawowe parametry morfologii krwi (znajomość norm WBC i liczby poszczególnych typów krwinek białych we krwi)</w:t>
      </w:r>
    </w:p>
    <w:p w14:paraId="5C6C99B1" w14:textId="77777777" w:rsidR="003D24C3" w:rsidRPr="00CA4AA5" w:rsidRDefault="003D24C3" w:rsidP="003D24C3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AA5">
        <w:rPr>
          <w:rFonts w:ascii="Times New Roman" w:eastAsia="Times New Roman" w:hAnsi="Times New Roman" w:cs="Times New Roman"/>
          <w:lang w:eastAsia="pl-PL"/>
        </w:rPr>
        <w:t>Leukopenia, agranulocytoza, leukocytoza, pancytopenia – definicje i ogólne przyczyny</w:t>
      </w:r>
    </w:p>
    <w:p w14:paraId="4D510519" w14:textId="77777777" w:rsidR="003D24C3" w:rsidRPr="00CA4AA5" w:rsidRDefault="003D24C3" w:rsidP="003D24C3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AA5">
        <w:rPr>
          <w:rFonts w:ascii="Times New Roman" w:hAnsi="Times New Roman" w:cs="Times New Roman"/>
        </w:rPr>
        <w:t>Białaczki: definicje, klasyfikacja, patogeneza, przyczyny i objawy</w:t>
      </w:r>
    </w:p>
    <w:p w14:paraId="383D7C34" w14:textId="77777777" w:rsidR="003D24C3" w:rsidRPr="00CA4AA5" w:rsidRDefault="003D24C3" w:rsidP="003D24C3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 xml:space="preserve">- białaczki ostre (ostra białaczka szpikowa – AML, ostra białaczka </w:t>
      </w:r>
      <w:proofErr w:type="spellStart"/>
      <w:r w:rsidRPr="00CA4AA5">
        <w:rPr>
          <w:rFonts w:ascii="Times New Roman" w:hAnsi="Times New Roman" w:cs="Times New Roman"/>
        </w:rPr>
        <w:t>limfoblastyczna</w:t>
      </w:r>
      <w:proofErr w:type="spellEnd"/>
      <w:r w:rsidRPr="00CA4AA5">
        <w:rPr>
          <w:rFonts w:ascii="Times New Roman" w:hAnsi="Times New Roman" w:cs="Times New Roman"/>
        </w:rPr>
        <w:t xml:space="preserve"> – ALL)</w:t>
      </w:r>
    </w:p>
    <w:p w14:paraId="29D2B4DA" w14:textId="77777777" w:rsidR="003D24C3" w:rsidRPr="00CA4AA5" w:rsidRDefault="003D24C3" w:rsidP="003D24C3">
      <w:pPr>
        <w:pStyle w:val="Akapitzlist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CA4AA5">
        <w:rPr>
          <w:rFonts w:ascii="Times New Roman" w:hAnsi="Times New Roman" w:cs="Times New Roman"/>
        </w:rPr>
        <w:t xml:space="preserve">- </w:t>
      </w:r>
      <w:proofErr w:type="spellStart"/>
      <w:r w:rsidRPr="00CA4AA5">
        <w:rPr>
          <w:rFonts w:ascii="Times New Roman" w:hAnsi="Times New Roman" w:cs="Times New Roman"/>
        </w:rPr>
        <w:t>chłoniaki</w:t>
      </w:r>
      <w:proofErr w:type="spellEnd"/>
      <w:r w:rsidRPr="00CA4AA5">
        <w:rPr>
          <w:rFonts w:ascii="Times New Roman" w:hAnsi="Times New Roman" w:cs="Times New Roman"/>
        </w:rPr>
        <w:t xml:space="preserve">: definicja (w tym różnica pomiędzy </w:t>
      </w:r>
      <w:proofErr w:type="spellStart"/>
      <w:r w:rsidRPr="00CA4AA5">
        <w:rPr>
          <w:rFonts w:ascii="Times New Roman" w:hAnsi="Times New Roman" w:cs="Times New Roman"/>
        </w:rPr>
        <w:t>chłoniakami</w:t>
      </w:r>
      <w:proofErr w:type="spellEnd"/>
      <w:r w:rsidRPr="00CA4AA5">
        <w:rPr>
          <w:rFonts w:ascii="Times New Roman" w:hAnsi="Times New Roman" w:cs="Times New Roman"/>
        </w:rPr>
        <w:t xml:space="preserve"> a białaczkami), klasyfikacja (</w:t>
      </w:r>
      <w:proofErr w:type="spellStart"/>
      <w:r w:rsidRPr="00CA4AA5">
        <w:rPr>
          <w:rFonts w:ascii="Times New Roman" w:hAnsi="Times New Roman" w:cs="Times New Roman"/>
        </w:rPr>
        <w:t>chłoniaki</w:t>
      </w:r>
      <w:proofErr w:type="spellEnd"/>
      <w:r w:rsidRPr="00CA4AA5">
        <w:rPr>
          <w:rFonts w:ascii="Times New Roman" w:hAnsi="Times New Roman" w:cs="Times New Roman"/>
        </w:rPr>
        <w:t xml:space="preserve"> </w:t>
      </w:r>
      <w:proofErr w:type="spellStart"/>
      <w:r w:rsidRPr="00CA4AA5">
        <w:rPr>
          <w:rFonts w:ascii="Times New Roman" w:hAnsi="Times New Roman" w:cs="Times New Roman"/>
        </w:rPr>
        <w:t>ziarnicze</w:t>
      </w:r>
      <w:proofErr w:type="spellEnd"/>
      <w:r w:rsidRPr="00CA4AA5">
        <w:rPr>
          <w:rFonts w:ascii="Times New Roman" w:hAnsi="Times New Roman" w:cs="Times New Roman"/>
        </w:rPr>
        <w:t xml:space="preserve"> i </w:t>
      </w:r>
      <w:proofErr w:type="spellStart"/>
      <w:r w:rsidRPr="00CA4AA5">
        <w:rPr>
          <w:rFonts w:ascii="Times New Roman" w:hAnsi="Times New Roman" w:cs="Times New Roman"/>
        </w:rPr>
        <w:t>nieziarnicze</w:t>
      </w:r>
      <w:proofErr w:type="spellEnd"/>
      <w:r w:rsidRPr="00CA4AA5">
        <w:rPr>
          <w:rFonts w:ascii="Times New Roman" w:hAnsi="Times New Roman" w:cs="Times New Roman"/>
        </w:rPr>
        <w:t>), przyczyny i czynniki ryzyka, objawy</w:t>
      </w:r>
    </w:p>
    <w:p w14:paraId="1370E07F" w14:textId="77777777" w:rsidR="003D24C3" w:rsidRPr="00CA4AA5" w:rsidRDefault="003D24C3" w:rsidP="003D24C3">
      <w:pPr>
        <w:pStyle w:val="Akapitzlist"/>
        <w:numPr>
          <w:ilvl w:val="0"/>
          <w:numId w:val="31"/>
        </w:numPr>
        <w:spacing w:after="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A4AA5">
        <w:rPr>
          <w:rFonts w:ascii="Times New Roman" w:eastAsia="Times New Roman" w:hAnsi="Times New Roman" w:cs="Times New Roman"/>
          <w:b/>
          <w:bCs/>
          <w:lang w:eastAsia="pl-PL"/>
        </w:rPr>
        <w:t>Hemostaza:</w:t>
      </w:r>
    </w:p>
    <w:p w14:paraId="6C611EAF" w14:textId="77777777" w:rsidR="003D24C3" w:rsidRPr="00CA4AA5" w:rsidRDefault="003D24C3" w:rsidP="003D24C3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A4AA5">
        <w:rPr>
          <w:rFonts w:ascii="Times New Roman" w:eastAsia="Times New Roman" w:hAnsi="Times New Roman" w:cs="Times New Roman"/>
          <w:u w:val="single"/>
          <w:lang w:eastAsia="pl-PL"/>
        </w:rPr>
        <w:t>Przypomnienie wiadomości z fizjologii hemostazy (rola płytek krwi i czynników osoczowych w hemostazie, czynniki przeciwzakrzepowe, fibrynoliza)</w:t>
      </w:r>
    </w:p>
    <w:p w14:paraId="64E30267" w14:textId="77777777" w:rsidR="003D24C3" w:rsidRPr="00CA4AA5" w:rsidRDefault="003D24C3" w:rsidP="003D24C3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AA5">
        <w:rPr>
          <w:rFonts w:ascii="Times New Roman" w:eastAsia="Times New Roman" w:hAnsi="Times New Roman" w:cs="Times New Roman"/>
          <w:lang w:eastAsia="pl-PL"/>
        </w:rPr>
        <w:t>Skazy krwotoczne:</w:t>
      </w:r>
    </w:p>
    <w:p w14:paraId="73E019BC" w14:textId="77777777" w:rsidR="003D24C3" w:rsidRPr="00CA4AA5" w:rsidRDefault="003D24C3" w:rsidP="003D24C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AA5">
        <w:rPr>
          <w:rFonts w:ascii="Times New Roman" w:eastAsia="Times New Roman" w:hAnsi="Times New Roman" w:cs="Times New Roman"/>
          <w:lang w:eastAsia="pl-PL"/>
        </w:rPr>
        <w:t>- skazy płytkowe – podział, przyczyny, objawy: trombocytopenie (małopłytkowości)</w:t>
      </w:r>
    </w:p>
    <w:p w14:paraId="774825D9" w14:textId="77777777" w:rsidR="003D24C3" w:rsidRPr="00CA4AA5" w:rsidRDefault="003D24C3" w:rsidP="003D24C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AA5">
        <w:rPr>
          <w:rFonts w:ascii="Times New Roman" w:eastAsia="Times New Roman" w:hAnsi="Times New Roman" w:cs="Times New Roman"/>
          <w:lang w:eastAsia="pl-PL"/>
        </w:rPr>
        <w:t xml:space="preserve">- skazy osoczowe (koagulopatie) – podział, przyczyny, objawy i etiopatogeneza wybranych zaburzeń: hemofilia A i B, choroba von </w:t>
      </w:r>
      <w:proofErr w:type="spellStart"/>
      <w:r w:rsidRPr="00CA4AA5">
        <w:rPr>
          <w:rFonts w:ascii="Times New Roman" w:eastAsia="Times New Roman" w:hAnsi="Times New Roman" w:cs="Times New Roman"/>
          <w:lang w:eastAsia="pl-PL"/>
        </w:rPr>
        <w:t>Willebranda</w:t>
      </w:r>
      <w:proofErr w:type="spellEnd"/>
      <w:r w:rsidRPr="00CA4AA5">
        <w:rPr>
          <w:rFonts w:ascii="Times New Roman" w:eastAsia="Times New Roman" w:hAnsi="Times New Roman" w:cs="Times New Roman"/>
          <w:lang w:eastAsia="pl-PL"/>
        </w:rPr>
        <w:t xml:space="preserve">, skazy związane z niedoborem witaminy K </w:t>
      </w:r>
    </w:p>
    <w:p w14:paraId="25E0ED0B" w14:textId="77777777" w:rsidR="003D24C3" w:rsidRPr="00CA4AA5" w:rsidRDefault="003D24C3" w:rsidP="003D24C3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AA5">
        <w:rPr>
          <w:rFonts w:ascii="Times New Roman" w:eastAsia="Times New Roman" w:hAnsi="Times New Roman" w:cs="Times New Roman"/>
          <w:lang w:eastAsia="pl-PL"/>
        </w:rPr>
        <w:t>Zakrzepica:</w:t>
      </w:r>
    </w:p>
    <w:p w14:paraId="40F29889" w14:textId="77777777" w:rsidR="003D24C3" w:rsidRPr="007364E8" w:rsidRDefault="003D24C3" w:rsidP="003D24C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AA5">
        <w:rPr>
          <w:rFonts w:ascii="Times New Roman" w:eastAsia="Times New Roman" w:hAnsi="Times New Roman" w:cs="Times New Roman"/>
          <w:lang w:eastAsia="pl-PL"/>
        </w:rPr>
        <w:t>- czynniki sprzyjające powstawaniu zakrzepów w naczyniach, zespół antyfosfolipidowy, zakrzepica żylna – przyczyny i skutki</w:t>
      </w:r>
    </w:p>
    <w:p w14:paraId="3EDC6428" w14:textId="77777777" w:rsidR="003527F2" w:rsidRPr="00CA4AA5" w:rsidRDefault="003527F2" w:rsidP="005318E0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3527F2" w:rsidRPr="00CA4AA5" w:rsidSect="00D01E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70D6"/>
    <w:multiLevelType w:val="hybridMultilevel"/>
    <w:tmpl w:val="75E8C06E"/>
    <w:lvl w:ilvl="0" w:tplc="F36063C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0369A"/>
    <w:multiLevelType w:val="hybridMultilevel"/>
    <w:tmpl w:val="52D076C6"/>
    <w:lvl w:ilvl="0" w:tplc="208C1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84265"/>
    <w:multiLevelType w:val="hybridMultilevel"/>
    <w:tmpl w:val="5B4CE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D4505"/>
    <w:multiLevelType w:val="hybridMultilevel"/>
    <w:tmpl w:val="32681446"/>
    <w:lvl w:ilvl="0" w:tplc="1AB4B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B2956"/>
    <w:multiLevelType w:val="hybridMultilevel"/>
    <w:tmpl w:val="E95AE02A"/>
    <w:lvl w:ilvl="0" w:tplc="9B3238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10EF9"/>
    <w:multiLevelType w:val="hybridMultilevel"/>
    <w:tmpl w:val="06D6B312"/>
    <w:lvl w:ilvl="0" w:tplc="2116B0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774709"/>
    <w:multiLevelType w:val="hybridMultilevel"/>
    <w:tmpl w:val="AC00F58C"/>
    <w:lvl w:ilvl="0" w:tplc="99DC06C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33E05"/>
    <w:multiLevelType w:val="hybridMultilevel"/>
    <w:tmpl w:val="FD4E2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55B4D"/>
    <w:multiLevelType w:val="hybridMultilevel"/>
    <w:tmpl w:val="9C7CC064"/>
    <w:lvl w:ilvl="0" w:tplc="3D545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082675"/>
    <w:multiLevelType w:val="hybridMultilevel"/>
    <w:tmpl w:val="E96EA7DE"/>
    <w:lvl w:ilvl="0" w:tplc="8D9AE0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A46C4F"/>
    <w:multiLevelType w:val="hybridMultilevel"/>
    <w:tmpl w:val="0FD80C76"/>
    <w:lvl w:ilvl="0" w:tplc="5816D99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87F3E"/>
    <w:multiLevelType w:val="hybridMultilevel"/>
    <w:tmpl w:val="A0186ACE"/>
    <w:lvl w:ilvl="0" w:tplc="37E494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D5E48"/>
    <w:multiLevelType w:val="hybridMultilevel"/>
    <w:tmpl w:val="65EC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A50F3"/>
    <w:multiLevelType w:val="hybridMultilevel"/>
    <w:tmpl w:val="C72C6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02FCB"/>
    <w:multiLevelType w:val="hybridMultilevel"/>
    <w:tmpl w:val="72768238"/>
    <w:lvl w:ilvl="0" w:tplc="6F7428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F86C97"/>
    <w:multiLevelType w:val="hybridMultilevel"/>
    <w:tmpl w:val="3878A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0B14C6"/>
    <w:multiLevelType w:val="hybridMultilevel"/>
    <w:tmpl w:val="481E2CCC"/>
    <w:lvl w:ilvl="0" w:tplc="F36063C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251B40"/>
    <w:multiLevelType w:val="hybridMultilevel"/>
    <w:tmpl w:val="7AF486B4"/>
    <w:lvl w:ilvl="0" w:tplc="7E726AF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5F4D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F011D2"/>
    <w:multiLevelType w:val="hybridMultilevel"/>
    <w:tmpl w:val="9E7095EE"/>
    <w:lvl w:ilvl="0" w:tplc="C73E4C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BC2F38"/>
    <w:multiLevelType w:val="hybridMultilevel"/>
    <w:tmpl w:val="7AE63420"/>
    <w:lvl w:ilvl="0" w:tplc="F36063C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5034FB"/>
    <w:multiLevelType w:val="hybridMultilevel"/>
    <w:tmpl w:val="AEB0340C"/>
    <w:lvl w:ilvl="0" w:tplc="A560C0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5718AC"/>
    <w:multiLevelType w:val="hybridMultilevel"/>
    <w:tmpl w:val="6A20DC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EC2E34"/>
    <w:multiLevelType w:val="hybridMultilevel"/>
    <w:tmpl w:val="53D0A3EC"/>
    <w:lvl w:ilvl="0" w:tplc="413607C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0F1D1C"/>
    <w:multiLevelType w:val="hybridMultilevel"/>
    <w:tmpl w:val="EF148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713126"/>
    <w:multiLevelType w:val="hybridMultilevel"/>
    <w:tmpl w:val="8CF40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AE06A5"/>
    <w:multiLevelType w:val="hybridMultilevel"/>
    <w:tmpl w:val="42365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92222C"/>
    <w:multiLevelType w:val="hybridMultilevel"/>
    <w:tmpl w:val="870EA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11312"/>
    <w:multiLevelType w:val="hybridMultilevel"/>
    <w:tmpl w:val="CAE8C2E4"/>
    <w:lvl w:ilvl="0" w:tplc="750CF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D02937"/>
    <w:multiLevelType w:val="hybridMultilevel"/>
    <w:tmpl w:val="292286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4B7539"/>
    <w:multiLevelType w:val="hybridMultilevel"/>
    <w:tmpl w:val="892E4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835C66"/>
    <w:multiLevelType w:val="hybridMultilevel"/>
    <w:tmpl w:val="F768F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FF5ABF"/>
    <w:multiLevelType w:val="hybridMultilevel"/>
    <w:tmpl w:val="E9B20AD2"/>
    <w:lvl w:ilvl="0" w:tplc="98E40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1"/>
  </w:num>
  <w:num w:numId="3">
    <w:abstractNumId w:val="24"/>
  </w:num>
  <w:num w:numId="4">
    <w:abstractNumId w:val="8"/>
  </w:num>
  <w:num w:numId="5">
    <w:abstractNumId w:val="29"/>
  </w:num>
  <w:num w:numId="6">
    <w:abstractNumId w:val="15"/>
  </w:num>
  <w:num w:numId="7">
    <w:abstractNumId w:val="31"/>
  </w:num>
  <w:num w:numId="8">
    <w:abstractNumId w:val="6"/>
  </w:num>
  <w:num w:numId="9">
    <w:abstractNumId w:val="30"/>
  </w:num>
  <w:num w:numId="10">
    <w:abstractNumId w:val="5"/>
  </w:num>
  <w:num w:numId="11">
    <w:abstractNumId w:val="19"/>
  </w:num>
  <w:num w:numId="12">
    <w:abstractNumId w:val="4"/>
  </w:num>
  <w:num w:numId="13">
    <w:abstractNumId w:val="23"/>
  </w:num>
  <w:num w:numId="14">
    <w:abstractNumId w:val="7"/>
  </w:num>
  <w:num w:numId="15">
    <w:abstractNumId w:val="1"/>
  </w:num>
  <w:num w:numId="16">
    <w:abstractNumId w:val="25"/>
  </w:num>
  <w:num w:numId="17">
    <w:abstractNumId w:val="12"/>
  </w:num>
  <w:num w:numId="18">
    <w:abstractNumId w:val="17"/>
  </w:num>
  <w:num w:numId="19">
    <w:abstractNumId w:val="0"/>
  </w:num>
  <w:num w:numId="20">
    <w:abstractNumId w:val="20"/>
  </w:num>
  <w:num w:numId="21">
    <w:abstractNumId w:val="32"/>
  </w:num>
  <w:num w:numId="22">
    <w:abstractNumId w:val="27"/>
  </w:num>
  <w:num w:numId="23">
    <w:abstractNumId w:val="10"/>
  </w:num>
  <w:num w:numId="24">
    <w:abstractNumId w:val="3"/>
  </w:num>
  <w:num w:numId="25">
    <w:abstractNumId w:val="13"/>
  </w:num>
  <w:num w:numId="26">
    <w:abstractNumId w:val="11"/>
  </w:num>
  <w:num w:numId="27">
    <w:abstractNumId w:val="16"/>
  </w:num>
  <w:num w:numId="28">
    <w:abstractNumId w:val="9"/>
  </w:num>
  <w:num w:numId="29">
    <w:abstractNumId w:val="2"/>
  </w:num>
  <w:num w:numId="30">
    <w:abstractNumId w:val="22"/>
  </w:num>
  <w:num w:numId="31">
    <w:abstractNumId w:val="14"/>
  </w:num>
  <w:num w:numId="32">
    <w:abstractNumId w:val="26"/>
  </w:num>
  <w:num w:numId="33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9C"/>
    <w:rsid w:val="000336F9"/>
    <w:rsid w:val="0004333E"/>
    <w:rsid w:val="000446FF"/>
    <w:rsid w:val="00055DF0"/>
    <w:rsid w:val="00064A4D"/>
    <w:rsid w:val="000734ED"/>
    <w:rsid w:val="00075D12"/>
    <w:rsid w:val="0008334F"/>
    <w:rsid w:val="000A02CF"/>
    <w:rsid w:val="000B570C"/>
    <w:rsid w:val="000C5F8F"/>
    <w:rsid w:val="000F70F0"/>
    <w:rsid w:val="00127A7E"/>
    <w:rsid w:val="00133BBF"/>
    <w:rsid w:val="001420DB"/>
    <w:rsid w:val="00146A5C"/>
    <w:rsid w:val="001639C8"/>
    <w:rsid w:val="00184BFA"/>
    <w:rsid w:val="00185D70"/>
    <w:rsid w:val="001A0B94"/>
    <w:rsid w:val="001B024F"/>
    <w:rsid w:val="001E7160"/>
    <w:rsid w:val="002003DE"/>
    <w:rsid w:val="00212F50"/>
    <w:rsid w:val="0025223A"/>
    <w:rsid w:val="00275614"/>
    <w:rsid w:val="002C135D"/>
    <w:rsid w:val="002D186A"/>
    <w:rsid w:val="002D7C91"/>
    <w:rsid w:val="003527F2"/>
    <w:rsid w:val="003D24C3"/>
    <w:rsid w:val="00430019"/>
    <w:rsid w:val="00442A0F"/>
    <w:rsid w:val="004467E1"/>
    <w:rsid w:val="0045649D"/>
    <w:rsid w:val="004714A8"/>
    <w:rsid w:val="004A5753"/>
    <w:rsid w:val="004D14E5"/>
    <w:rsid w:val="004D34F4"/>
    <w:rsid w:val="004D6866"/>
    <w:rsid w:val="00514A82"/>
    <w:rsid w:val="005318E0"/>
    <w:rsid w:val="0059156F"/>
    <w:rsid w:val="005A05FF"/>
    <w:rsid w:val="005E11CC"/>
    <w:rsid w:val="00617514"/>
    <w:rsid w:val="0061755A"/>
    <w:rsid w:val="00617F45"/>
    <w:rsid w:val="006643D8"/>
    <w:rsid w:val="00665145"/>
    <w:rsid w:val="0066720E"/>
    <w:rsid w:val="006F6E69"/>
    <w:rsid w:val="007364E8"/>
    <w:rsid w:val="00760561"/>
    <w:rsid w:val="0076279B"/>
    <w:rsid w:val="00776E71"/>
    <w:rsid w:val="007A42C8"/>
    <w:rsid w:val="008239CD"/>
    <w:rsid w:val="008859B2"/>
    <w:rsid w:val="008A27E8"/>
    <w:rsid w:val="008A5E97"/>
    <w:rsid w:val="008B597E"/>
    <w:rsid w:val="008C7DCF"/>
    <w:rsid w:val="008E4FD0"/>
    <w:rsid w:val="00911F3B"/>
    <w:rsid w:val="00923547"/>
    <w:rsid w:val="00924F84"/>
    <w:rsid w:val="0094028D"/>
    <w:rsid w:val="0095179F"/>
    <w:rsid w:val="00964C04"/>
    <w:rsid w:val="009D66BB"/>
    <w:rsid w:val="009E1E79"/>
    <w:rsid w:val="009E6A13"/>
    <w:rsid w:val="00A54012"/>
    <w:rsid w:val="00A72A4F"/>
    <w:rsid w:val="00A74F3A"/>
    <w:rsid w:val="00A813EA"/>
    <w:rsid w:val="00A9161D"/>
    <w:rsid w:val="00AB4266"/>
    <w:rsid w:val="00AE1FFC"/>
    <w:rsid w:val="00B106B1"/>
    <w:rsid w:val="00B2555F"/>
    <w:rsid w:val="00B41020"/>
    <w:rsid w:val="00B66C0E"/>
    <w:rsid w:val="00B7723C"/>
    <w:rsid w:val="00B8409C"/>
    <w:rsid w:val="00BE44E5"/>
    <w:rsid w:val="00BF1B08"/>
    <w:rsid w:val="00C97D00"/>
    <w:rsid w:val="00CA4AA5"/>
    <w:rsid w:val="00D01ED4"/>
    <w:rsid w:val="00D25B82"/>
    <w:rsid w:val="00D76363"/>
    <w:rsid w:val="00D76D93"/>
    <w:rsid w:val="00D83999"/>
    <w:rsid w:val="00DA158B"/>
    <w:rsid w:val="00DD792A"/>
    <w:rsid w:val="00E03B9B"/>
    <w:rsid w:val="00E33D52"/>
    <w:rsid w:val="00E37F8D"/>
    <w:rsid w:val="00E458CC"/>
    <w:rsid w:val="00E5698D"/>
    <w:rsid w:val="00E6413A"/>
    <w:rsid w:val="00E73964"/>
    <w:rsid w:val="00EA5436"/>
    <w:rsid w:val="00EA70D8"/>
    <w:rsid w:val="00F10B79"/>
    <w:rsid w:val="00F14200"/>
    <w:rsid w:val="00F16D76"/>
    <w:rsid w:val="00F83F31"/>
    <w:rsid w:val="00FD528D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D76E"/>
  <w15:docId w15:val="{3B09C01E-3BE0-442E-8E7E-0BB5B126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3D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F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DA74-EF1A-412B-8BBE-A0F09100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1782</Words>
  <Characters>10695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Leja-Szpak</cp:lastModifiedBy>
  <cp:revision>2</cp:revision>
  <cp:lastPrinted>2022-07-08T11:13:00Z</cp:lastPrinted>
  <dcterms:created xsi:type="dcterms:W3CDTF">2022-09-19T09:17:00Z</dcterms:created>
  <dcterms:modified xsi:type="dcterms:W3CDTF">2022-09-19T09:17:00Z</dcterms:modified>
</cp:coreProperties>
</file>